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1B107" w14:textId="7FA71263" w:rsidR="009255A4" w:rsidRPr="00711FCF" w:rsidRDefault="0090001A" w:rsidP="00711FCF">
      <w:pPr>
        <w:jc w:val="both"/>
        <w:rPr>
          <w:rFonts w:ascii="Arial Nova" w:hAnsi="Arial Nova"/>
          <w:lang w:val="es-MX"/>
        </w:rPr>
      </w:pPr>
      <w:proofErr w:type="gramStart"/>
      <w:r w:rsidRPr="00711FCF">
        <w:rPr>
          <w:rFonts w:ascii="Arial Nova" w:hAnsi="Arial Nova"/>
          <w:lang w:val="es-MX"/>
        </w:rPr>
        <w:t>Buenos días</w:t>
      </w:r>
      <w:proofErr w:type="gramEnd"/>
      <w:r w:rsidRPr="00711FCF">
        <w:rPr>
          <w:rFonts w:ascii="Arial Nova" w:hAnsi="Arial Nova"/>
          <w:lang w:val="es-MX"/>
        </w:rPr>
        <w:t xml:space="preserve"> Doctora Yasmín,</w:t>
      </w:r>
    </w:p>
    <w:p w14:paraId="504ECF76" w14:textId="48D08263" w:rsidR="0090001A" w:rsidRPr="00711FCF" w:rsidRDefault="0090001A" w:rsidP="00711FCF">
      <w:pPr>
        <w:jc w:val="both"/>
        <w:rPr>
          <w:rFonts w:ascii="Arial Nova" w:hAnsi="Arial Nova"/>
          <w:lang w:val="es-MX"/>
        </w:rPr>
      </w:pPr>
      <w:r w:rsidRPr="00711FCF">
        <w:rPr>
          <w:rFonts w:ascii="Arial Nova" w:hAnsi="Arial Nova"/>
          <w:lang w:val="es-MX"/>
        </w:rPr>
        <w:t xml:space="preserve">Por medio del presente correo, en atención a las indicaciones del ingeniero </w:t>
      </w:r>
      <w:proofErr w:type="spellStart"/>
      <w:r w:rsidRPr="00711FCF">
        <w:rPr>
          <w:rFonts w:ascii="Arial Nova" w:hAnsi="Arial Nova"/>
          <w:lang w:val="es-MX"/>
        </w:rPr>
        <w:t>Jhon</w:t>
      </w:r>
      <w:proofErr w:type="spellEnd"/>
      <w:r w:rsidRPr="00711FCF">
        <w:rPr>
          <w:rFonts w:ascii="Arial Nova" w:hAnsi="Arial Nova"/>
          <w:lang w:val="es-MX"/>
        </w:rPr>
        <w:t xml:space="preserve"> Alexander González Mendoza Subsecretario de Gestión de la Movilidad, adjunto el borrador del informe de presunto incumplimiento del contrato 2022- 1114 (interventoría realizada por la Universidad Distrital).</w:t>
      </w:r>
    </w:p>
    <w:p w14:paraId="29D31649" w14:textId="0E391AB7" w:rsidR="0090001A" w:rsidRPr="00711FCF" w:rsidRDefault="0090001A" w:rsidP="00711FCF">
      <w:pPr>
        <w:jc w:val="both"/>
        <w:rPr>
          <w:rFonts w:ascii="Arial Nova" w:hAnsi="Arial Nova"/>
          <w:lang w:val="es-MX"/>
        </w:rPr>
      </w:pPr>
      <w:r w:rsidRPr="00711FCF">
        <w:rPr>
          <w:rFonts w:ascii="Arial Nova" w:hAnsi="Arial Nova"/>
          <w:lang w:val="es-MX"/>
        </w:rPr>
        <w:t xml:space="preserve">Lo anterior, con el fin de que sea revisado y apoyado el informe de presunto incumplimiento y la consecuente citación al contratista, con énfasis en la tasación de la sanción. Ya que, desde el área de Sancionatorios de la Subsecretaría de Gestión de la Movilidad, contrario sensu a lo indicado por la Dirección de contratación en cuanto a la viabilidad del proceso sancionatorio, </w:t>
      </w:r>
      <w:r w:rsidR="001F549D" w:rsidRPr="00711FCF">
        <w:rPr>
          <w:rFonts w:ascii="Arial Nova" w:hAnsi="Arial Nova"/>
          <w:lang w:val="es-MX"/>
        </w:rPr>
        <w:t>para este</w:t>
      </w:r>
      <w:r w:rsidRPr="00711FCF">
        <w:rPr>
          <w:rFonts w:ascii="Arial Nova" w:hAnsi="Arial Nova"/>
          <w:lang w:val="es-MX"/>
        </w:rPr>
        <w:t xml:space="preserve"> caso en particular </w:t>
      </w:r>
      <w:r w:rsidR="001F549D" w:rsidRPr="00711FCF">
        <w:rPr>
          <w:rFonts w:ascii="Arial Nova" w:hAnsi="Arial Nova"/>
          <w:lang w:val="es-MX"/>
        </w:rPr>
        <w:t>analizamos, que es poco probable que prospere el procedimiento establecido en la ley 1474 de 2011, en atención a las siguientes consideraciones:</w:t>
      </w:r>
    </w:p>
    <w:p w14:paraId="29B34FA8" w14:textId="63827EA7" w:rsidR="001F549D" w:rsidRPr="00711FCF" w:rsidRDefault="001F549D" w:rsidP="00711FCF">
      <w:pPr>
        <w:pStyle w:val="Prrafodelista"/>
        <w:numPr>
          <w:ilvl w:val="0"/>
          <w:numId w:val="3"/>
        </w:numPr>
        <w:jc w:val="both"/>
        <w:rPr>
          <w:rFonts w:ascii="Arial Nova" w:hAnsi="Arial Nova"/>
          <w:lang w:val="es-MX"/>
        </w:rPr>
      </w:pPr>
      <w:r w:rsidRPr="00711FCF">
        <w:rPr>
          <w:rFonts w:ascii="Arial Nova" w:hAnsi="Arial Nova"/>
          <w:noProof/>
        </w:rPr>
        <w:drawing>
          <wp:anchor distT="0" distB="0" distL="114300" distR="114300" simplePos="0" relativeHeight="251659264" behindDoc="0" locked="0" layoutInCell="1" allowOverlap="1" wp14:anchorId="1332862A" wp14:editId="777E3788">
            <wp:simplePos x="0" y="0"/>
            <wp:positionH relativeFrom="column">
              <wp:posOffset>-861060</wp:posOffset>
            </wp:positionH>
            <wp:positionV relativeFrom="paragraph">
              <wp:posOffset>285750</wp:posOffset>
            </wp:positionV>
            <wp:extent cx="7277100" cy="2181225"/>
            <wp:effectExtent l="0" t="19050" r="0" b="0"/>
            <wp:wrapNone/>
            <wp:docPr id="2014888923"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14:sizeRelH relativeFrom="margin">
              <wp14:pctWidth>0</wp14:pctWidth>
            </wp14:sizeRelH>
            <wp14:sizeRelV relativeFrom="margin">
              <wp14:pctHeight>0</wp14:pctHeight>
            </wp14:sizeRelV>
          </wp:anchor>
        </w:drawing>
      </w:r>
      <w:r w:rsidRPr="00711FCF">
        <w:rPr>
          <w:rFonts w:ascii="Arial Nova" w:hAnsi="Arial Nova"/>
          <w:lang w:val="es-MX"/>
        </w:rPr>
        <w:t>Hechos Relevantes:</w:t>
      </w:r>
    </w:p>
    <w:p w14:paraId="419252AA" w14:textId="77777777" w:rsidR="007070FF" w:rsidRPr="00711FCF" w:rsidRDefault="007070FF" w:rsidP="00711FCF">
      <w:pPr>
        <w:jc w:val="both"/>
        <w:rPr>
          <w:rFonts w:ascii="Arial Nova" w:hAnsi="Arial Nova"/>
          <w:lang w:val="es-MX"/>
        </w:rPr>
      </w:pPr>
    </w:p>
    <w:p w14:paraId="6FDFD59D" w14:textId="6CB39CC6" w:rsidR="001F549D" w:rsidRPr="00711FCF" w:rsidRDefault="001F549D" w:rsidP="00711FCF">
      <w:pPr>
        <w:jc w:val="both"/>
        <w:rPr>
          <w:rFonts w:ascii="Arial Nova" w:hAnsi="Arial Nova"/>
          <w:lang w:val="es-MX"/>
        </w:rPr>
      </w:pPr>
      <w:r w:rsidRPr="00711FCF">
        <w:rPr>
          <w:rFonts w:ascii="Arial Nova" w:hAnsi="Arial Nova"/>
          <w:noProof/>
          <w:lang w:val="es-MX"/>
        </w:rPr>
        <mc:AlternateContent>
          <mc:Choice Requires="wps">
            <w:drawing>
              <wp:anchor distT="0" distB="0" distL="114300" distR="114300" simplePos="0" relativeHeight="251660288" behindDoc="0" locked="0" layoutInCell="1" allowOverlap="1" wp14:anchorId="5CB6164B" wp14:editId="325D658E">
                <wp:simplePos x="0" y="0"/>
                <wp:positionH relativeFrom="column">
                  <wp:posOffset>2891790</wp:posOffset>
                </wp:positionH>
                <wp:positionV relativeFrom="paragraph">
                  <wp:posOffset>1285240</wp:posOffset>
                </wp:positionV>
                <wp:extent cx="3162300" cy="238125"/>
                <wp:effectExtent l="0" t="0" r="19050" b="28575"/>
                <wp:wrapNone/>
                <wp:docPr id="978903508" name="Rectángulo 1"/>
                <wp:cNvGraphicFramePr/>
                <a:graphic xmlns:a="http://schemas.openxmlformats.org/drawingml/2006/main">
                  <a:graphicData uri="http://schemas.microsoft.com/office/word/2010/wordprocessingShape">
                    <wps:wsp>
                      <wps:cNvSpPr/>
                      <wps:spPr>
                        <a:xfrm>
                          <a:off x="0" y="0"/>
                          <a:ext cx="3162300" cy="23812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619D757" w14:textId="440DCB3B" w:rsidR="001F549D" w:rsidRPr="001F549D" w:rsidRDefault="001F549D" w:rsidP="001F549D">
                            <w:pPr>
                              <w:jc w:val="center"/>
                              <w:rPr>
                                <w:b/>
                                <w:bCs/>
                                <w:color w:val="FFFF00"/>
                                <w:sz w:val="18"/>
                                <w:szCs w:val="18"/>
                                <w:lang w:val="es-MX"/>
                              </w:rPr>
                            </w:pPr>
                            <w:r w:rsidRPr="001F549D">
                              <w:rPr>
                                <w:b/>
                                <w:bCs/>
                                <w:color w:val="FFFF00"/>
                                <w:sz w:val="18"/>
                                <w:szCs w:val="18"/>
                                <w:lang w:val="es-MX"/>
                              </w:rPr>
                              <w:t>7 anexos a la póliza sin aprobación por parte de la entidad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B6164B" id="Rectángulo 1" o:spid="_x0000_s1026" style="position:absolute;left:0;text-align:left;margin-left:227.7pt;margin-top:101.2pt;width:249pt;height:18.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" fillcolor="#4472c4 [3204]" strokecolor="#09101d [484]" strokeweight="1pt">
                <v:textbox>
                  <w:txbxContent>
                    <w:p w14:paraId="3619D757" w14:textId="440DCB3B" w:rsidR="001F549D" w:rsidRPr="001F549D" w:rsidRDefault="001F549D" w:rsidP="001F549D">
                      <w:pPr>
                        <w:jc w:val="center"/>
                        <w:rPr>
                          <w:b/>
                          <w:bCs/>
                          <w:color w:val="FFFF00"/>
                          <w:sz w:val="18"/>
                          <w:szCs w:val="18"/>
                          <w:lang w:val="es-MX"/>
                        </w:rPr>
                      </w:pPr>
                      <w:r w:rsidRPr="001F549D">
                        <w:rPr>
                          <w:b/>
                          <w:bCs/>
                          <w:color w:val="FFFF00"/>
                          <w:sz w:val="18"/>
                          <w:szCs w:val="18"/>
                          <w:lang w:val="es-MX"/>
                        </w:rPr>
                        <w:t>7 anexos a la póliza sin aprobación por parte de la entidad</w:t>
                      </w:r>
                    </w:p>
                  </w:txbxContent>
                </v:textbox>
              </v:rect>
            </w:pict>
          </mc:Fallback>
        </mc:AlternateContent>
      </w:r>
    </w:p>
    <w:p w14:paraId="561C674B" w14:textId="77777777" w:rsidR="007070FF" w:rsidRPr="00711FCF" w:rsidRDefault="007070FF" w:rsidP="00711FCF">
      <w:pPr>
        <w:jc w:val="both"/>
        <w:rPr>
          <w:rFonts w:ascii="Arial Nova" w:hAnsi="Arial Nova"/>
          <w:lang w:val="es-MX"/>
        </w:rPr>
      </w:pPr>
    </w:p>
    <w:p w14:paraId="723F26EC" w14:textId="77777777" w:rsidR="007070FF" w:rsidRPr="00711FCF" w:rsidRDefault="007070FF" w:rsidP="00711FCF">
      <w:pPr>
        <w:jc w:val="both"/>
        <w:rPr>
          <w:rFonts w:ascii="Arial Nova" w:hAnsi="Arial Nova"/>
          <w:lang w:val="es-MX"/>
        </w:rPr>
      </w:pPr>
    </w:p>
    <w:p w14:paraId="5444FE2D" w14:textId="77777777" w:rsidR="007070FF" w:rsidRPr="00711FCF" w:rsidRDefault="007070FF" w:rsidP="00711FCF">
      <w:pPr>
        <w:jc w:val="both"/>
        <w:rPr>
          <w:rFonts w:ascii="Arial Nova" w:hAnsi="Arial Nova"/>
          <w:lang w:val="es-MX"/>
        </w:rPr>
      </w:pPr>
    </w:p>
    <w:p w14:paraId="792DFE2C" w14:textId="77777777" w:rsidR="007070FF" w:rsidRPr="00711FCF" w:rsidRDefault="007070FF" w:rsidP="00711FCF">
      <w:pPr>
        <w:jc w:val="both"/>
        <w:rPr>
          <w:rFonts w:ascii="Arial Nova" w:hAnsi="Arial Nova"/>
          <w:lang w:val="es-MX"/>
        </w:rPr>
      </w:pPr>
    </w:p>
    <w:p w14:paraId="7187D5AB" w14:textId="77777777" w:rsidR="007070FF" w:rsidRPr="00711FCF" w:rsidRDefault="007070FF" w:rsidP="00711FCF">
      <w:pPr>
        <w:jc w:val="both"/>
        <w:rPr>
          <w:rFonts w:ascii="Arial Nova" w:hAnsi="Arial Nova"/>
          <w:lang w:val="es-MX"/>
        </w:rPr>
      </w:pPr>
    </w:p>
    <w:p w14:paraId="0B8096A0" w14:textId="77777777" w:rsidR="007070FF" w:rsidRPr="00711FCF" w:rsidRDefault="007070FF" w:rsidP="00711FCF">
      <w:pPr>
        <w:jc w:val="both"/>
        <w:rPr>
          <w:rFonts w:ascii="Arial Nova" w:hAnsi="Arial Nova"/>
          <w:lang w:val="es-MX"/>
        </w:rPr>
      </w:pPr>
    </w:p>
    <w:p w14:paraId="4B8AA815" w14:textId="77777777" w:rsidR="007070FF" w:rsidRPr="00711FCF" w:rsidRDefault="007070FF" w:rsidP="00711FCF">
      <w:pPr>
        <w:jc w:val="both"/>
        <w:rPr>
          <w:rFonts w:ascii="Arial Nova" w:hAnsi="Arial Nova"/>
          <w:lang w:val="es-MX"/>
        </w:rPr>
      </w:pPr>
    </w:p>
    <w:p w14:paraId="5671CF78" w14:textId="77777777" w:rsidR="007070FF" w:rsidRPr="00711FCF" w:rsidRDefault="007070FF" w:rsidP="00711FCF">
      <w:pPr>
        <w:jc w:val="both"/>
        <w:rPr>
          <w:rFonts w:ascii="Arial Nova" w:hAnsi="Arial Nova"/>
          <w:lang w:val="es-MX"/>
        </w:rPr>
      </w:pPr>
    </w:p>
    <w:p w14:paraId="630B6EBB" w14:textId="77777777" w:rsidR="007070FF" w:rsidRPr="00711FCF" w:rsidRDefault="007070FF" w:rsidP="00711FCF">
      <w:pPr>
        <w:jc w:val="both"/>
        <w:rPr>
          <w:rFonts w:ascii="Arial Nova" w:hAnsi="Arial Nova"/>
          <w:lang w:val="es-MX"/>
        </w:rPr>
      </w:pPr>
    </w:p>
    <w:p w14:paraId="6F33E512" w14:textId="77777777" w:rsidR="007070FF" w:rsidRPr="00711FCF" w:rsidRDefault="007070FF" w:rsidP="00711FCF">
      <w:pPr>
        <w:jc w:val="both"/>
        <w:rPr>
          <w:rFonts w:ascii="Arial Nova" w:hAnsi="Arial Nova"/>
          <w:lang w:val="es-MX"/>
        </w:rPr>
      </w:pPr>
    </w:p>
    <w:p w14:paraId="2715C97F" w14:textId="03EDECF5" w:rsidR="007070FF" w:rsidRPr="00711FCF" w:rsidRDefault="007070FF" w:rsidP="00711FCF">
      <w:pPr>
        <w:jc w:val="both"/>
        <w:rPr>
          <w:rFonts w:ascii="Arial Nova" w:hAnsi="Arial Nova"/>
          <w:lang w:val="es-MX"/>
        </w:rPr>
      </w:pPr>
      <w:r w:rsidRPr="00711FCF">
        <w:rPr>
          <w:rFonts w:ascii="Arial Nova" w:hAnsi="Arial Nova"/>
          <w:lang w:val="es-MX"/>
        </w:rPr>
        <w:t>A.</w:t>
      </w:r>
      <w:r w:rsidRPr="00711FCF">
        <w:rPr>
          <w:rFonts w:ascii="Arial Nova" w:hAnsi="Arial Nova"/>
        </w:rPr>
        <w:t xml:space="preserve"> </w:t>
      </w:r>
      <w:r w:rsidRPr="00711FCF">
        <w:rPr>
          <w:rFonts w:ascii="Arial Nova" w:hAnsi="Arial Nova"/>
          <w:lang w:val="es-MX"/>
        </w:rPr>
        <w:t xml:space="preserve">El contrato de seguro por su naturaleza está sometido a las normas del derecho privado y se rige por las siguientes reglas: </w:t>
      </w:r>
      <w:r w:rsidRPr="00711FCF">
        <w:rPr>
          <w:rFonts w:ascii="Arial Nova" w:hAnsi="Arial Nova"/>
          <w:b/>
          <w:bCs/>
          <w:lang w:val="es-MX"/>
        </w:rPr>
        <w:t>(i)</w:t>
      </w:r>
      <w:r w:rsidRPr="00711FCF">
        <w:rPr>
          <w:rFonts w:ascii="Arial Nova" w:hAnsi="Arial Nova"/>
          <w:lang w:val="es-MX"/>
        </w:rPr>
        <w:t xml:space="preserve"> es consensual porque se perfecciona por el mero consentimiento de las partes y produce sus efectos desde que se ha realizado la convención; </w:t>
      </w:r>
      <w:r w:rsidRPr="00711FCF">
        <w:rPr>
          <w:rFonts w:ascii="Arial Nova" w:hAnsi="Arial Nova"/>
          <w:b/>
          <w:bCs/>
          <w:lang w:val="es-MX"/>
        </w:rPr>
        <w:t>(</w:t>
      </w:r>
      <w:proofErr w:type="spellStart"/>
      <w:r w:rsidRPr="00711FCF">
        <w:rPr>
          <w:rFonts w:ascii="Arial Nova" w:hAnsi="Arial Nova"/>
          <w:b/>
          <w:bCs/>
          <w:lang w:val="es-MX"/>
        </w:rPr>
        <w:t>ii</w:t>
      </w:r>
      <w:proofErr w:type="spellEnd"/>
      <w:r w:rsidRPr="00711FCF">
        <w:rPr>
          <w:rFonts w:ascii="Arial Nova" w:hAnsi="Arial Nova"/>
          <w:b/>
          <w:bCs/>
          <w:lang w:val="es-MX"/>
        </w:rPr>
        <w:t>)</w:t>
      </w:r>
      <w:r w:rsidRPr="00711FCF">
        <w:rPr>
          <w:rFonts w:ascii="Arial Nova" w:hAnsi="Arial Nova"/>
          <w:lang w:val="es-MX"/>
        </w:rPr>
        <w:t xml:space="preserve"> es bilateral puesto que origina derechos y obligaciones entre asegurador y asegurado; </w:t>
      </w:r>
      <w:r w:rsidRPr="00711FCF">
        <w:rPr>
          <w:rFonts w:ascii="Arial Nova" w:hAnsi="Arial Nova"/>
          <w:b/>
          <w:bCs/>
          <w:lang w:val="es-MX"/>
        </w:rPr>
        <w:t>(</w:t>
      </w:r>
      <w:proofErr w:type="spellStart"/>
      <w:r w:rsidRPr="00711FCF">
        <w:rPr>
          <w:rFonts w:ascii="Arial Nova" w:hAnsi="Arial Nova"/>
          <w:b/>
          <w:bCs/>
          <w:lang w:val="es-MX"/>
        </w:rPr>
        <w:t>iii</w:t>
      </w:r>
      <w:proofErr w:type="spellEnd"/>
      <w:r w:rsidRPr="00711FCF">
        <w:rPr>
          <w:rFonts w:ascii="Arial Nova" w:hAnsi="Arial Nova"/>
          <w:b/>
          <w:bCs/>
          <w:lang w:val="es-MX"/>
        </w:rPr>
        <w:t xml:space="preserve">) </w:t>
      </w:r>
      <w:r w:rsidRPr="00711FCF">
        <w:rPr>
          <w:rFonts w:ascii="Arial Nova" w:hAnsi="Arial Nova"/>
          <w:lang w:val="es-MX"/>
        </w:rPr>
        <w:t xml:space="preserve">es oneroso, en cuanto compromete al primero a pagar el siniestro y al segundo a reconocer el valor de la prima; y </w:t>
      </w:r>
      <w:r w:rsidRPr="00711FCF">
        <w:rPr>
          <w:rFonts w:ascii="Arial Nova" w:hAnsi="Arial Nova"/>
          <w:b/>
          <w:bCs/>
          <w:lang w:val="es-MX"/>
        </w:rPr>
        <w:t>(</w:t>
      </w:r>
      <w:proofErr w:type="spellStart"/>
      <w:r w:rsidRPr="00711FCF">
        <w:rPr>
          <w:rFonts w:ascii="Arial Nova" w:hAnsi="Arial Nova"/>
          <w:b/>
          <w:bCs/>
          <w:lang w:val="es-MX"/>
        </w:rPr>
        <w:t>iv</w:t>
      </w:r>
      <w:proofErr w:type="spellEnd"/>
      <w:r w:rsidRPr="00711FCF">
        <w:rPr>
          <w:rFonts w:ascii="Arial Nova" w:hAnsi="Arial Nova"/>
          <w:b/>
          <w:bCs/>
          <w:lang w:val="es-MX"/>
        </w:rPr>
        <w:t>)</w:t>
      </w:r>
      <w:r w:rsidRPr="00711FCF">
        <w:rPr>
          <w:rFonts w:ascii="Arial Nova" w:hAnsi="Arial Nova"/>
          <w:lang w:val="es-MX"/>
        </w:rPr>
        <w:t xml:space="preserve"> es aleatorio ya que se refiere a la indemnización de una pérdida o de un daño producido por un acontecimiento o un hecho incierto, y en el caso contrario, como ocurre con la muerte, no se sabe cuándo ella ha de acontecer.</w:t>
      </w:r>
      <w:r w:rsidRPr="00711FCF">
        <w:rPr>
          <w:rFonts w:ascii="Arial Nova" w:hAnsi="Arial Nova"/>
          <w:lang w:val="es-MX"/>
        </w:rPr>
        <w:tab/>
      </w:r>
      <w:r w:rsidRPr="00711FCF">
        <w:rPr>
          <w:rFonts w:ascii="Arial Nova" w:hAnsi="Arial Nova"/>
          <w:lang w:val="es-MX"/>
        </w:rPr>
        <w:t xml:space="preserve">( Código de comercio </w:t>
      </w:r>
      <w:r w:rsidRPr="00711FCF">
        <w:rPr>
          <w:rFonts w:ascii="Arial Nova" w:hAnsi="Arial Nova" w:cs="Arial"/>
          <w:color w:val="333333"/>
          <w:sz w:val="21"/>
          <w:szCs w:val="21"/>
        </w:rPr>
        <w:t>art. 1036, modificado ley 389 1997, art. 1).</w:t>
      </w:r>
    </w:p>
    <w:p w14:paraId="04A9FBC2" w14:textId="23C693F6" w:rsidR="007070FF" w:rsidRPr="00C9178E" w:rsidRDefault="007070FF" w:rsidP="00711FCF">
      <w:pPr>
        <w:jc w:val="both"/>
        <w:rPr>
          <w:rFonts w:ascii="Arial Nova" w:eastAsia="Times New Roman" w:hAnsi="Arial Nova" w:cs="Arial"/>
          <w:color w:val="333333"/>
          <w:kern w:val="0"/>
          <w:sz w:val="21"/>
          <w:szCs w:val="21"/>
          <w:lang w:eastAsia="es-CO"/>
          <w14:ligatures w14:val="none"/>
        </w:rPr>
      </w:pPr>
      <w:r w:rsidRPr="00711FCF">
        <w:rPr>
          <w:rFonts w:ascii="Arial Nova" w:hAnsi="Arial Nova"/>
          <w:lang w:val="es-MX"/>
        </w:rPr>
        <w:lastRenderedPageBreak/>
        <w:t>B.</w:t>
      </w:r>
      <w:r w:rsidRPr="00711FCF">
        <w:rPr>
          <w:rFonts w:ascii="Arial Nova" w:hAnsi="Arial Nova" w:cs="Arial"/>
          <w:color w:val="FF0000"/>
          <w:sz w:val="21"/>
          <w:szCs w:val="21"/>
        </w:rPr>
        <w:t xml:space="preserve"> </w:t>
      </w:r>
      <w:r w:rsidRPr="00C9178E">
        <w:rPr>
          <w:rFonts w:ascii="Arial Nova" w:eastAsia="Times New Roman" w:hAnsi="Arial Nova" w:cs="Arial"/>
          <w:color w:val="333333"/>
          <w:kern w:val="0"/>
          <w:sz w:val="21"/>
          <w:szCs w:val="21"/>
          <w:lang w:eastAsia="es-CO"/>
          <w14:ligatures w14:val="none"/>
        </w:rPr>
        <w:t>El riesgo está definido legalmente como "el suceso incierto que no depende exclusivamente de la voluntad del tomador, del asegurado o del beneficiario, y cuya realización da origen a la obligación del asegurador. Los hechos ciertos, salvo la muerte, y los físicamente imposibles, no constituyen riesgo y son, por lo tanto, extraños al contrato de seguro. Tampoco constituye riesgo la incertidumbre subjetiva respecto de determinado hecho que haya tenido o no cumplimiento"(</w:t>
      </w:r>
      <w:r w:rsidRPr="00C9178E">
        <w:rPr>
          <w:rFonts w:ascii="Arial Nova" w:eastAsia="Times New Roman" w:hAnsi="Arial Nova" w:cs="Arial"/>
          <w:color w:val="333333"/>
          <w:kern w:val="0"/>
          <w:sz w:val="21"/>
          <w:szCs w:val="21"/>
          <w:lang w:eastAsia="es-CO"/>
          <w14:ligatures w14:val="none"/>
        </w:rPr>
        <w:t xml:space="preserve">Código de Comercio </w:t>
      </w:r>
      <w:r w:rsidRPr="00C9178E">
        <w:rPr>
          <w:rFonts w:ascii="Arial Nova" w:eastAsia="Times New Roman" w:hAnsi="Arial Nova" w:cs="Arial"/>
          <w:color w:val="333333"/>
          <w:kern w:val="0"/>
          <w:sz w:val="21"/>
          <w:szCs w:val="21"/>
          <w:lang w:eastAsia="es-CO"/>
          <w14:ligatures w14:val="none"/>
        </w:rPr>
        <w:t xml:space="preserve">art. 1.054 </w:t>
      </w:r>
      <w:r w:rsidRPr="00C9178E">
        <w:rPr>
          <w:rFonts w:ascii="Arial Nova" w:eastAsia="Times New Roman" w:hAnsi="Arial Nova" w:cs="Arial"/>
          <w:color w:val="333333"/>
          <w:kern w:val="0"/>
          <w:sz w:val="21"/>
          <w:szCs w:val="21"/>
          <w:lang w:eastAsia="es-CO"/>
          <w14:ligatures w14:val="none"/>
        </w:rPr>
        <w:t>)</w:t>
      </w:r>
    </w:p>
    <w:p w14:paraId="6D41AAFE" w14:textId="52B05608" w:rsidR="007070FF" w:rsidRPr="00711FCF" w:rsidRDefault="007070FF" w:rsidP="00711FCF">
      <w:pPr>
        <w:pStyle w:val="NormalWeb"/>
        <w:shd w:val="clear" w:color="auto" w:fill="FFFFFF"/>
        <w:spacing w:before="0" w:beforeAutospacing="0" w:after="150" w:afterAutospacing="0"/>
        <w:jc w:val="both"/>
        <w:rPr>
          <w:rFonts w:ascii="Arial Nova" w:hAnsi="Arial Nova" w:cs="Arial"/>
          <w:color w:val="333333"/>
          <w:sz w:val="21"/>
          <w:szCs w:val="21"/>
        </w:rPr>
      </w:pPr>
      <w:r w:rsidRPr="00711FCF">
        <w:rPr>
          <w:rFonts w:ascii="Arial Nova" w:hAnsi="Arial Nova" w:cs="Arial"/>
          <w:color w:val="333333"/>
          <w:sz w:val="21"/>
          <w:szCs w:val="21"/>
        </w:rPr>
        <w:t xml:space="preserve">En ese sentido cabe señalar entonces que la entidad estatal contratante, en su condición de asegurada, </w:t>
      </w:r>
      <w:r w:rsidRPr="00711FCF">
        <w:rPr>
          <w:rFonts w:ascii="Arial Nova" w:hAnsi="Arial Nova" w:cs="Arial"/>
          <w:b/>
          <w:bCs/>
          <w:color w:val="333333"/>
          <w:sz w:val="21"/>
          <w:szCs w:val="21"/>
        </w:rPr>
        <w:t xml:space="preserve">tiene la carga de </w:t>
      </w:r>
      <w:r w:rsidRPr="00711FCF">
        <w:rPr>
          <w:rFonts w:ascii="Arial Nova" w:hAnsi="Arial Nova" w:cs="Arial"/>
          <w:b/>
          <w:bCs/>
          <w:color w:val="333333"/>
          <w:sz w:val="21"/>
          <w:szCs w:val="21"/>
        </w:rPr>
        <w:t>apr</w:t>
      </w:r>
      <w:r w:rsidRPr="00711FCF">
        <w:rPr>
          <w:rFonts w:ascii="Arial Nova" w:hAnsi="Arial Nova" w:cs="Arial"/>
          <w:b/>
          <w:bCs/>
          <w:color w:val="333333"/>
          <w:sz w:val="21"/>
          <w:szCs w:val="21"/>
        </w:rPr>
        <w:t>obar</w:t>
      </w:r>
      <w:r w:rsidRPr="00711FCF">
        <w:rPr>
          <w:rFonts w:ascii="Arial Nova" w:hAnsi="Arial Nova" w:cs="Arial"/>
          <w:color w:val="333333"/>
          <w:sz w:val="21"/>
          <w:szCs w:val="21"/>
        </w:rPr>
        <w:t xml:space="preserve"> los términos del contrato de seguros que se ha estipulado a su favor sin que mediante poder para representarla y que ha sido sometido a su revisión, naturalmente está manifestando su aceptación o consentimiento en relación con dicha estipulación y, por tanto, a partir de ese momento sólo esa entidad estatal podrá demandar o exigir el cumplimiento del mismo.</w:t>
      </w:r>
    </w:p>
    <w:p w14:paraId="0B49B75B" w14:textId="48622185" w:rsidR="007070FF" w:rsidRPr="00711FCF" w:rsidRDefault="007070FF" w:rsidP="00711FCF">
      <w:pPr>
        <w:pStyle w:val="NormalWeb"/>
        <w:shd w:val="clear" w:color="auto" w:fill="FFFFFF"/>
        <w:spacing w:before="0" w:beforeAutospacing="0" w:after="150" w:afterAutospacing="0"/>
        <w:jc w:val="both"/>
        <w:rPr>
          <w:rFonts w:ascii="Arial Nova" w:hAnsi="Arial Nova" w:cs="Arial"/>
          <w:color w:val="333333"/>
          <w:sz w:val="21"/>
          <w:szCs w:val="21"/>
        </w:rPr>
      </w:pPr>
      <w:r w:rsidRPr="00711FCF">
        <w:rPr>
          <w:rFonts w:ascii="Arial Nova" w:hAnsi="Arial Nova" w:cs="Arial"/>
          <w:color w:val="333333"/>
          <w:sz w:val="21"/>
          <w:szCs w:val="21"/>
        </w:rPr>
        <w:t>En la medida en que la norma mercantil determina que la aceptación del contrato por el asegurado</w:t>
      </w:r>
      <w:r w:rsidRPr="00711FCF">
        <w:rPr>
          <w:rFonts w:ascii="Arial Nova" w:hAnsi="Arial Nova" w:cs="Arial"/>
          <w:color w:val="333333"/>
          <w:sz w:val="21"/>
          <w:szCs w:val="21"/>
        </w:rPr>
        <w:t xml:space="preserve"> (Entidad)</w:t>
      </w:r>
      <w:r w:rsidRPr="00711FCF">
        <w:rPr>
          <w:rFonts w:ascii="Arial Nova" w:hAnsi="Arial Nova" w:cs="Arial"/>
          <w:color w:val="333333"/>
          <w:sz w:val="21"/>
          <w:szCs w:val="21"/>
        </w:rPr>
        <w:t xml:space="preserve"> en cuyo nombre un tercero, sin poder para representarlo, ha estipulado el seguro, corresponde a la ratificación del respectivo contrato, hay lugar a concluir que tal aceptación produce efectos que se retrotraen al momento mismo de celebración del contrato de seguro, por </w:t>
      </w:r>
      <w:r w:rsidRPr="00711FCF">
        <w:rPr>
          <w:rFonts w:ascii="Arial Nova" w:hAnsi="Arial Nova" w:cs="Arial"/>
          <w:color w:val="333333"/>
          <w:sz w:val="21"/>
          <w:szCs w:val="21"/>
        </w:rPr>
        <w:t>tanto</w:t>
      </w:r>
      <w:r w:rsidRPr="00711FCF">
        <w:rPr>
          <w:rFonts w:ascii="Arial Nova" w:hAnsi="Arial Nova" w:cs="Arial"/>
          <w:color w:val="333333"/>
          <w:sz w:val="21"/>
          <w:szCs w:val="21"/>
        </w:rPr>
        <w:t xml:space="preserve"> ha de tenerse a </w:t>
      </w:r>
      <w:r w:rsidRPr="00711FCF">
        <w:rPr>
          <w:rFonts w:ascii="Arial Nova" w:hAnsi="Arial Nova" w:cs="Arial"/>
          <w:color w:val="333333"/>
          <w:sz w:val="21"/>
          <w:szCs w:val="21"/>
        </w:rPr>
        <w:t>la Entidad</w:t>
      </w:r>
      <w:r w:rsidRPr="00711FCF">
        <w:rPr>
          <w:rFonts w:ascii="Arial Nova" w:hAnsi="Arial Nova" w:cs="Arial"/>
          <w:color w:val="333333"/>
          <w:sz w:val="21"/>
          <w:szCs w:val="21"/>
        </w:rPr>
        <w:t xml:space="preserve"> como parte del contrato, ello en consideración a que los efectos de la ratificación, por parte del asegurado</w:t>
      </w:r>
      <w:r w:rsidRPr="00711FCF">
        <w:rPr>
          <w:rFonts w:ascii="Arial Nova" w:hAnsi="Arial Nova" w:cs="Arial"/>
          <w:color w:val="333333"/>
          <w:sz w:val="21"/>
          <w:szCs w:val="21"/>
        </w:rPr>
        <w:t xml:space="preserve"> ( Entidad)</w:t>
      </w:r>
      <w:r w:rsidRPr="00711FCF">
        <w:rPr>
          <w:rFonts w:ascii="Arial Nova" w:hAnsi="Arial Nova" w:cs="Arial"/>
          <w:color w:val="333333"/>
          <w:sz w:val="21"/>
          <w:szCs w:val="21"/>
        </w:rPr>
        <w:t>, se r</w:t>
      </w:r>
      <w:r w:rsidR="00316F7E" w:rsidRPr="00711FCF">
        <w:rPr>
          <w:rFonts w:ascii="Arial Nova" w:hAnsi="Arial Nova" w:cs="Arial"/>
          <w:color w:val="333333"/>
          <w:sz w:val="21"/>
          <w:szCs w:val="21"/>
        </w:rPr>
        <w:t>i</w:t>
      </w:r>
      <w:r w:rsidRPr="00711FCF">
        <w:rPr>
          <w:rFonts w:ascii="Arial Nova" w:hAnsi="Arial Nova" w:cs="Arial"/>
          <w:color w:val="333333"/>
          <w:sz w:val="21"/>
          <w:szCs w:val="21"/>
        </w:rPr>
        <w:t>g</w:t>
      </w:r>
      <w:r w:rsidRPr="00711FCF">
        <w:rPr>
          <w:rFonts w:ascii="Arial Nova" w:hAnsi="Arial Nova" w:cs="Arial"/>
          <w:color w:val="333333"/>
          <w:sz w:val="21"/>
          <w:szCs w:val="21"/>
        </w:rPr>
        <w:t>en</w:t>
      </w:r>
      <w:r w:rsidRPr="00711FCF">
        <w:rPr>
          <w:rFonts w:ascii="Arial Nova" w:hAnsi="Arial Nova" w:cs="Arial"/>
          <w:color w:val="333333"/>
          <w:sz w:val="21"/>
          <w:szCs w:val="21"/>
        </w:rPr>
        <w:t xml:space="preserve"> por lo previsto en el artículo 844 del mismo Código de Comercio, según el cual:</w:t>
      </w:r>
    </w:p>
    <w:p w14:paraId="260BD2E3" w14:textId="77777777" w:rsidR="007070FF" w:rsidRPr="00711FCF" w:rsidRDefault="007070FF" w:rsidP="00711FCF">
      <w:pPr>
        <w:pStyle w:val="NormalWeb"/>
        <w:spacing w:before="0" w:beforeAutospacing="0" w:after="150" w:afterAutospacing="0"/>
        <w:jc w:val="both"/>
        <w:rPr>
          <w:rFonts w:ascii="Arial Nova" w:hAnsi="Arial Nova" w:cs="Arial"/>
          <w:i/>
          <w:iCs/>
          <w:color w:val="333333"/>
          <w:sz w:val="21"/>
          <w:szCs w:val="21"/>
          <w:shd w:val="clear" w:color="auto" w:fill="FFFFFF"/>
        </w:rPr>
      </w:pPr>
      <w:r w:rsidRPr="00711FCF">
        <w:rPr>
          <w:rFonts w:ascii="Arial Nova" w:hAnsi="Arial Nova" w:cs="Arial"/>
          <w:i/>
          <w:iCs/>
          <w:color w:val="333333"/>
          <w:sz w:val="21"/>
          <w:szCs w:val="21"/>
          <w:shd w:val="clear" w:color="auto" w:fill="FFFFFF"/>
        </w:rPr>
        <w:t>"Artículo 844.- La ratificación del interesado, si se hace con las mismas formalidades que la ley exige para el negocio jurídico ratificado, tendrá efecto retroactivo, salvo en cuanto lesione derechos de terceros".</w:t>
      </w:r>
    </w:p>
    <w:p w14:paraId="450BEAC9" w14:textId="77777777" w:rsidR="00316F7E" w:rsidRPr="00711FCF" w:rsidRDefault="007070FF" w:rsidP="00711FCF">
      <w:pPr>
        <w:pStyle w:val="NormalWeb"/>
        <w:shd w:val="clear" w:color="auto" w:fill="FFFFFF"/>
        <w:spacing w:before="0" w:beforeAutospacing="0" w:after="150" w:afterAutospacing="0"/>
        <w:jc w:val="both"/>
        <w:rPr>
          <w:rFonts w:ascii="Arial Nova" w:hAnsi="Arial Nova" w:cs="Arial"/>
          <w:color w:val="333333"/>
          <w:sz w:val="21"/>
          <w:szCs w:val="21"/>
        </w:rPr>
      </w:pPr>
      <w:r w:rsidRPr="00711FCF">
        <w:rPr>
          <w:rFonts w:ascii="Arial Nova" w:hAnsi="Arial Nova" w:cs="Arial"/>
          <w:color w:val="333333"/>
          <w:sz w:val="21"/>
          <w:szCs w:val="21"/>
        </w:rPr>
        <w:t>En atención a</w:t>
      </w:r>
      <w:r w:rsidRPr="00711FCF">
        <w:rPr>
          <w:rFonts w:ascii="Arial Nova" w:hAnsi="Arial Nova" w:cs="Arial"/>
          <w:color w:val="333333"/>
          <w:sz w:val="21"/>
          <w:szCs w:val="21"/>
        </w:rPr>
        <w:t xml:space="preserve"> que la celebración del contrato de seguro no exige formalidad especial alguna, </w:t>
      </w:r>
      <w:r w:rsidR="00316F7E" w:rsidRPr="00711FCF">
        <w:rPr>
          <w:rFonts w:ascii="Arial Nova" w:hAnsi="Arial Nova" w:cs="Arial"/>
          <w:color w:val="333333"/>
          <w:sz w:val="21"/>
          <w:szCs w:val="21"/>
        </w:rPr>
        <w:t>como lo indica</w:t>
      </w:r>
      <w:r w:rsidRPr="00711FCF">
        <w:rPr>
          <w:rFonts w:ascii="Arial Nova" w:hAnsi="Arial Nova" w:cs="Arial"/>
          <w:color w:val="333333"/>
          <w:sz w:val="21"/>
          <w:szCs w:val="21"/>
        </w:rPr>
        <w:t xml:space="preserve"> el artículo 1036 del </w:t>
      </w:r>
      <w:r w:rsidR="00316F7E" w:rsidRPr="00711FCF">
        <w:rPr>
          <w:rFonts w:ascii="Arial Nova" w:hAnsi="Arial Nova" w:cs="Arial"/>
          <w:color w:val="333333"/>
          <w:sz w:val="21"/>
          <w:szCs w:val="21"/>
        </w:rPr>
        <w:t>del Código de Comercio,</w:t>
      </w:r>
      <w:r w:rsidRPr="00711FCF">
        <w:rPr>
          <w:rFonts w:ascii="Arial Nova" w:hAnsi="Arial Nova" w:cs="Arial"/>
          <w:color w:val="333333"/>
          <w:sz w:val="21"/>
          <w:szCs w:val="21"/>
        </w:rPr>
        <w:t xml:space="preserve"> es consensual, esto es que se perfeccionan por el solo consentimiento (artículo 1500 C.C.), </w:t>
      </w:r>
    </w:p>
    <w:p w14:paraId="2EA6041D" w14:textId="4AA66F5F" w:rsidR="007070FF" w:rsidRPr="00711FCF" w:rsidRDefault="00316F7E" w:rsidP="00711FCF">
      <w:pPr>
        <w:pStyle w:val="NormalWeb"/>
        <w:shd w:val="clear" w:color="auto" w:fill="FFFFFF"/>
        <w:spacing w:before="0" w:beforeAutospacing="0" w:after="150" w:afterAutospacing="0"/>
        <w:jc w:val="both"/>
        <w:rPr>
          <w:rFonts w:ascii="Arial Nova" w:hAnsi="Arial Nova" w:cs="Arial"/>
          <w:color w:val="333333"/>
          <w:sz w:val="21"/>
          <w:szCs w:val="21"/>
        </w:rPr>
      </w:pPr>
      <w:r w:rsidRPr="00711FCF">
        <w:rPr>
          <w:rFonts w:ascii="Arial Nova" w:hAnsi="Arial Nova" w:cs="Arial"/>
          <w:color w:val="333333"/>
          <w:sz w:val="21"/>
          <w:szCs w:val="21"/>
        </w:rPr>
        <w:t xml:space="preserve">Respecto de las </w:t>
      </w:r>
      <w:r w:rsidR="007070FF" w:rsidRPr="00711FCF">
        <w:rPr>
          <w:rFonts w:ascii="Arial Nova" w:hAnsi="Arial Nova" w:cs="Arial"/>
          <w:color w:val="333333"/>
          <w:sz w:val="21"/>
          <w:szCs w:val="21"/>
        </w:rPr>
        <w:t xml:space="preserve">entidades estatales </w:t>
      </w:r>
      <w:r w:rsidRPr="00711FCF">
        <w:rPr>
          <w:rFonts w:ascii="Arial Nova" w:hAnsi="Arial Nova" w:cs="Arial"/>
          <w:color w:val="333333"/>
          <w:sz w:val="21"/>
          <w:szCs w:val="21"/>
        </w:rPr>
        <w:t>se requiere</w:t>
      </w:r>
      <w:r w:rsidR="007070FF" w:rsidRPr="00711FCF">
        <w:rPr>
          <w:rFonts w:ascii="Arial Nova" w:hAnsi="Arial Nova" w:cs="Arial"/>
          <w:color w:val="333333"/>
          <w:sz w:val="21"/>
          <w:szCs w:val="21"/>
        </w:rPr>
        <w:t xml:space="preserve"> </w:t>
      </w:r>
      <w:r w:rsidRPr="00711FCF">
        <w:rPr>
          <w:rFonts w:ascii="Arial Nova" w:hAnsi="Arial Nova" w:cs="Arial"/>
          <w:color w:val="333333"/>
          <w:sz w:val="21"/>
          <w:szCs w:val="21"/>
        </w:rPr>
        <w:t xml:space="preserve">la </w:t>
      </w:r>
      <w:r w:rsidR="007070FF" w:rsidRPr="00711FCF">
        <w:rPr>
          <w:rFonts w:ascii="Arial Nova" w:hAnsi="Arial Nova" w:cs="Arial"/>
          <w:color w:val="333333"/>
          <w:sz w:val="21"/>
          <w:szCs w:val="21"/>
        </w:rPr>
        <w:t xml:space="preserve">aprobación, la cual, constituye entonces la manifestación de voluntad de la entidad contratante </w:t>
      </w:r>
      <w:r w:rsidRPr="00711FCF">
        <w:rPr>
          <w:rFonts w:ascii="Arial Nova" w:hAnsi="Arial Nova" w:cs="Arial"/>
          <w:color w:val="333333"/>
          <w:sz w:val="21"/>
          <w:szCs w:val="21"/>
        </w:rPr>
        <w:t xml:space="preserve">en la que </w:t>
      </w:r>
      <w:r w:rsidR="007070FF" w:rsidRPr="00711FCF">
        <w:rPr>
          <w:rFonts w:ascii="Arial Nova" w:hAnsi="Arial Nova" w:cs="Arial"/>
          <w:color w:val="333333"/>
          <w:sz w:val="21"/>
          <w:szCs w:val="21"/>
        </w:rPr>
        <w:t xml:space="preserve">acepta los términos del contrato que inicialmente se estipuló a su favor </w:t>
      </w:r>
      <w:r w:rsidRPr="00711FCF">
        <w:rPr>
          <w:rFonts w:ascii="Arial Nova" w:hAnsi="Arial Nova" w:cs="Arial"/>
          <w:color w:val="333333"/>
          <w:sz w:val="21"/>
          <w:szCs w:val="21"/>
        </w:rPr>
        <w:t xml:space="preserve">por el contratista </w:t>
      </w:r>
      <w:r w:rsidR="007070FF" w:rsidRPr="00711FCF">
        <w:rPr>
          <w:rFonts w:ascii="Arial Nova" w:hAnsi="Arial Nova" w:cs="Arial"/>
          <w:color w:val="333333"/>
          <w:sz w:val="21"/>
          <w:szCs w:val="21"/>
        </w:rPr>
        <w:t>pero sin facultades para representarla y a partir de ese momento, con efectos retroactivos, se vincula como parte del respectivo contrato de seguro.</w:t>
      </w:r>
    </w:p>
    <w:p w14:paraId="31F8A879" w14:textId="220EAB7C" w:rsidR="007070FF" w:rsidRPr="00711FCF" w:rsidRDefault="007070FF" w:rsidP="00711FCF">
      <w:pPr>
        <w:pStyle w:val="NormalWeb"/>
        <w:shd w:val="clear" w:color="auto" w:fill="FFFFFF"/>
        <w:spacing w:before="0" w:beforeAutospacing="0" w:after="150" w:afterAutospacing="0"/>
        <w:jc w:val="both"/>
        <w:rPr>
          <w:rFonts w:ascii="Arial Nova" w:hAnsi="Arial Nova" w:cs="Arial"/>
          <w:i/>
          <w:iCs/>
          <w:color w:val="333333"/>
          <w:sz w:val="21"/>
          <w:szCs w:val="21"/>
          <w:shd w:val="clear" w:color="auto" w:fill="FFFFFF"/>
        </w:rPr>
      </w:pPr>
      <w:r w:rsidRPr="00711FCF">
        <w:rPr>
          <w:rFonts w:ascii="Arial Nova" w:hAnsi="Arial Nova" w:cs="Arial"/>
          <w:b/>
          <w:bCs/>
          <w:i/>
          <w:iCs/>
          <w:color w:val="333333"/>
          <w:sz w:val="21"/>
          <w:szCs w:val="21"/>
          <w:shd w:val="clear" w:color="auto" w:fill="FFFFFF"/>
        </w:rPr>
        <w:t>En estos casos el asegurado</w:t>
      </w:r>
      <w:r w:rsidR="00316F7E" w:rsidRPr="00711FCF">
        <w:rPr>
          <w:rFonts w:ascii="Arial Nova" w:hAnsi="Arial Nova" w:cs="Arial"/>
          <w:b/>
          <w:bCs/>
          <w:i/>
          <w:iCs/>
          <w:color w:val="333333"/>
          <w:sz w:val="21"/>
          <w:szCs w:val="21"/>
          <w:shd w:val="clear" w:color="auto" w:fill="FFFFFF"/>
        </w:rPr>
        <w:t xml:space="preserve"> (Entidad)</w:t>
      </w:r>
      <w:r w:rsidRPr="00711FCF">
        <w:rPr>
          <w:rFonts w:ascii="Arial Nova" w:hAnsi="Arial Nova" w:cs="Arial"/>
          <w:b/>
          <w:bCs/>
          <w:i/>
          <w:iCs/>
          <w:color w:val="333333"/>
          <w:sz w:val="21"/>
          <w:szCs w:val="21"/>
          <w:shd w:val="clear" w:color="auto" w:fill="FFFFFF"/>
        </w:rPr>
        <w:t xml:space="preserve"> sólo queda </w:t>
      </w:r>
      <w:r w:rsidR="00316F7E" w:rsidRPr="00711FCF">
        <w:rPr>
          <w:rFonts w:ascii="Arial Nova" w:hAnsi="Arial Nova" w:cs="Arial"/>
          <w:b/>
          <w:bCs/>
          <w:i/>
          <w:iCs/>
          <w:color w:val="333333"/>
          <w:sz w:val="21"/>
          <w:szCs w:val="21"/>
          <w:shd w:val="clear" w:color="auto" w:fill="FFFFFF"/>
        </w:rPr>
        <w:t>vinculado</w:t>
      </w:r>
      <w:r w:rsidRPr="00711FCF">
        <w:rPr>
          <w:rFonts w:ascii="Arial Nova" w:hAnsi="Arial Nova" w:cs="Arial"/>
          <w:b/>
          <w:bCs/>
          <w:i/>
          <w:iCs/>
          <w:color w:val="333333"/>
          <w:sz w:val="21"/>
          <w:szCs w:val="21"/>
          <w:shd w:val="clear" w:color="auto" w:fill="FFFFFF"/>
        </w:rPr>
        <w:t xml:space="preserve"> jurídicamente cuando ratifica el contrato, </w:t>
      </w:r>
      <w:r w:rsidRPr="00711FCF">
        <w:rPr>
          <w:rFonts w:ascii="Arial Nova" w:hAnsi="Arial Nova" w:cs="Arial"/>
          <w:i/>
          <w:iCs/>
          <w:color w:val="333333"/>
          <w:sz w:val="21"/>
          <w:szCs w:val="21"/>
          <w:shd w:val="clear" w:color="auto" w:fill="FFFFFF"/>
        </w:rPr>
        <w:t>aun después de ocurrido el siniestro (Código de Comercio, art. 1038), </w:t>
      </w:r>
      <w:r w:rsidRPr="00711FCF">
        <w:rPr>
          <w:rFonts w:ascii="Arial Nova" w:hAnsi="Arial Nova" w:cs="Arial"/>
          <w:b/>
          <w:bCs/>
          <w:i/>
          <w:iCs/>
          <w:color w:val="333333"/>
          <w:sz w:val="21"/>
          <w:szCs w:val="21"/>
          <w:shd w:val="clear" w:color="auto" w:fill="FFFFFF"/>
        </w:rPr>
        <w:t>en cuyo caso, en cabeza de él se radican todas las obligaciones y derechos. </w:t>
      </w:r>
      <w:r w:rsidRPr="00711FCF">
        <w:rPr>
          <w:rFonts w:ascii="Arial Nova" w:hAnsi="Arial Nova" w:cs="Arial"/>
          <w:i/>
          <w:iCs/>
          <w:color w:val="333333"/>
          <w:sz w:val="21"/>
          <w:szCs w:val="21"/>
          <w:shd w:val="clear" w:color="auto" w:fill="FFFFFF"/>
        </w:rPr>
        <w:t>Si, por el contrario, el asegurado no ratifica el contrato, competerá el cumplimiento de las obligaciones al tomador-solicitante, hasta cuando la compañía tenga conocimiento del rechazo: pero ésta devengará la prima proporcional al riesgo cubierto, valor que deberá pagarlo el tomador-solicitante, y si se rechaza su pago, consideramos que podrá hacérsele efectiva la obligación por medio del juicio ejecutivo</w:t>
      </w:r>
    </w:p>
    <w:p w14:paraId="2B63FEED" w14:textId="46D5CD4F" w:rsidR="007070FF" w:rsidRPr="00711FCF" w:rsidRDefault="007070FF" w:rsidP="00711FCF">
      <w:pPr>
        <w:pStyle w:val="NormalWeb"/>
        <w:shd w:val="clear" w:color="auto" w:fill="FFFFFF"/>
        <w:spacing w:before="0" w:beforeAutospacing="0" w:after="150" w:afterAutospacing="0"/>
        <w:jc w:val="both"/>
        <w:rPr>
          <w:rFonts w:ascii="Arial Nova" w:hAnsi="Arial Nova" w:cs="Arial"/>
          <w:color w:val="333333"/>
          <w:sz w:val="21"/>
          <w:szCs w:val="21"/>
          <w:shd w:val="clear" w:color="auto" w:fill="FFFFFF"/>
        </w:rPr>
      </w:pPr>
      <w:r w:rsidRPr="00711FCF">
        <w:rPr>
          <w:rFonts w:ascii="Arial Nova" w:hAnsi="Arial Nova" w:cs="Arial"/>
          <w:color w:val="333333"/>
          <w:sz w:val="21"/>
          <w:szCs w:val="21"/>
          <w:shd w:val="clear" w:color="auto" w:fill="FFFFFF"/>
        </w:rPr>
        <w:t>De esta manera, se tiene entonces que en los contratos de seguro que se celebran para garantizar el cumplimiento de otros contratos estatales, en cuanto medie la aprobación que la entidad estatal contratante haya impartido a los términos de la póliza expedida por la compañía aseguradora -</w:t>
      </w:r>
      <w:r w:rsidRPr="00711FCF">
        <w:rPr>
          <w:rFonts w:ascii="Arial Nova" w:hAnsi="Arial Nova" w:cs="Arial"/>
          <w:b/>
          <w:bCs/>
          <w:color w:val="333333"/>
          <w:sz w:val="21"/>
          <w:szCs w:val="21"/>
          <w:shd w:val="clear" w:color="auto" w:fill="FFFFFF"/>
        </w:rPr>
        <w:t>aprobación que constituye requisito legal para que pueda darse inicio a la ejecución del contrato estatal cuyo cumplimiento se garantiza (artículo 41, Ley 80)-,</w:t>
      </w:r>
      <w:r w:rsidRPr="00711FCF">
        <w:rPr>
          <w:rFonts w:ascii="Arial Nova" w:hAnsi="Arial Nova" w:cs="Arial"/>
          <w:color w:val="333333"/>
          <w:sz w:val="21"/>
          <w:szCs w:val="21"/>
          <w:shd w:val="clear" w:color="auto" w:fill="FFFFFF"/>
        </w:rPr>
        <w:t xml:space="preserve"> </w:t>
      </w:r>
      <w:r w:rsidR="00316F7E" w:rsidRPr="00711FCF">
        <w:rPr>
          <w:rFonts w:ascii="Arial Nova" w:hAnsi="Arial Nova" w:cs="Arial"/>
          <w:color w:val="333333"/>
          <w:sz w:val="21"/>
          <w:szCs w:val="21"/>
          <w:shd w:val="clear" w:color="auto" w:fill="FFFFFF"/>
        </w:rPr>
        <w:t>en consecuencia,</w:t>
      </w:r>
      <w:r w:rsidRPr="00711FCF">
        <w:rPr>
          <w:rFonts w:ascii="Arial Nova" w:hAnsi="Arial Nova" w:cs="Arial"/>
          <w:color w:val="333333"/>
          <w:sz w:val="21"/>
          <w:szCs w:val="21"/>
          <w:shd w:val="clear" w:color="auto" w:fill="FFFFFF"/>
        </w:rPr>
        <w:t xml:space="preserve"> entidad estatal contratante </w:t>
      </w:r>
      <w:r w:rsidR="00316F7E" w:rsidRPr="00711FCF">
        <w:rPr>
          <w:rFonts w:ascii="Arial Nova" w:hAnsi="Arial Nova" w:cs="Arial"/>
          <w:color w:val="333333"/>
          <w:sz w:val="21"/>
          <w:szCs w:val="21"/>
          <w:shd w:val="clear" w:color="auto" w:fill="FFFFFF"/>
        </w:rPr>
        <w:t>no es</w:t>
      </w:r>
      <w:r w:rsidRPr="00711FCF">
        <w:rPr>
          <w:rFonts w:ascii="Arial Nova" w:hAnsi="Arial Nova" w:cs="Arial"/>
          <w:color w:val="333333"/>
          <w:sz w:val="21"/>
          <w:szCs w:val="21"/>
          <w:shd w:val="clear" w:color="auto" w:fill="FFFFFF"/>
        </w:rPr>
        <w:t xml:space="preserve"> un tercero, ajeno por completo al referido contrato de seguro de cumplimiento, puesto que queda visto que con ocasión de la aceptación o ratificación que ella imparte a la estipulación que la aseguradora ha realizado en su favor,</w:t>
      </w:r>
      <w:r w:rsidR="00316F7E" w:rsidRPr="00711FCF">
        <w:rPr>
          <w:rFonts w:ascii="Arial Nova" w:hAnsi="Arial Nova" w:cs="Arial"/>
          <w:color w:val="333333"/>
          <w:sz w:val="21"/>
          <w:szCs w:val="21"/>
          <w:shd w:val="clear" w:color="auto" w:fill="FFFFFF"/>
        </w:rPr>
        <w:t xml:space="preserve"> </w:t>
      </w:r>
      <w:r w:rsidR="00316F7E" w:rsidRPr="00711FCF">
        <w:rPr>
          <w:rFonts w:ascii="Arial Nova" w:hAnsi="Arial Nova" w:cs="Arial"/>
          <w:color w:val="333333"/>
          <w:sz w:val="21"/>
          <w:szCs w:val="21"/>
          <w:shd w:val="clear" w:color="auto" w:fill="FFFFFF"/>
        </w:rPr>
        <w:lastRenderedPageBreak/>
        <w:t xml:space="preserve">genera las siguientes consecuencias: </w:t>
      </w:r>
      <w:r w:rsidRPr="00711FCF">
        <w:rPr>
          <w:rFonts w:ascii="Arial Nova" w:hAnsi="Arial Nova" w:cs="Arial"/>
          <w:color w:val="333333"/>
          <w:sz w:val="21"/>
          <w:szCs w:val="21"/>
          <w:shd w:val="clear" w:color="auto" w:fill="FFFFFF"/>
        </w:rPr>
        <w:t> </w:t>
      </w:r>
      <w:r w:rsidRPr="00711FCF">
        <w:rPr>
          <w:rFonts w:ascii="Arial Nova" w:hAnsi="Arial Nova" w:cs="Arial"/>
          <w:b/>
          <w:bCs/>
          <w:i/>
          <w:iCs/>
          <w:color w:val="333333"/>
          <w:sz w:val="21"/>
          <w:szCs w:val="21"/>
          <w:shd w:val="clear" w:color="auto" w:fill="FFFFFF"/>
        </w:rPr>
        <w:t>i)</w:t>
      </w:r>
      <w:r w:rsidR="00316F7E" w:rsidRPr="00711FCF">
        <w:rPr>
          <w:rFonts w:ascii="Arial Nova" w:hAnsi="Arial Nova" w:cs="Arial"/>
          <w:color w:val="333333"/>
          <w:sz w:val="21"/>
          <w:szCs w:val="21"/>
          <w:shd w:val="clear" w:color="auto" w:fill="FFFFFF"/>
        </w:rPr>
        <w:t xml:space="preserve"> La Entidad</w:t>
      </w:r>
      <w:r w:rsidRPr="00711FCF">
        <w:rPr>
          <w:rFonts w:ascii="Arial Nova" w:hAnsi="Arial Nova" w:cs="Arial"/>
          <w:color w:val="333333"/>
          <w:sz w:val="21"/>
          <w:szCs w:val="21"/>
          <w:shd w:val="clear" w:color="auto" w:fill="FFFFFF"/>
        </w:rPr>
        <w:t xml:space="preserve"> asume directamente la condición de parte dentro del correspondiente contrato de seguro; </w:t>
      </w:r>
      <w:proofErr w:type="spellStart"/>
      <w:r w:rsidRPr="00711FCF">
        <w:rPr>
          <w:rFonts w:ascii="Arial Nova" w:hAnsi="Arial Nova" w:cs="Arial"/>
          <w:b/>
          <w:bCs/>
          <w:i/>
          <w:iCs/>
          <w:color w:val="333333"/>
          <w:sz w:val="21"/>
          <w:szCs w:val="21"/>
          <w:shd w:val="clear" w:color="auto" w:fill="FFFFFF"/>
        </w:rPr>
        <w:t>ii</w:t>
      </w:r>
      <w:proofErr w:type="spellEnd"/>
      <w:r w:rsidRPr="00711FCF">
        <w:rPr>
          <w:rFonts w:ascii="Arial Nova" w:hAnsi="Arial Nova" w:cs="Arial"/>
          <w:b/>
          <w:bCs/>
          <w:i/>
          <w:iCs/>
          <w:color w:val="333333"/>
          <w:sz w:val="21"/>
          <w:szCs w:val="21"/>
          <w:shd w:val="clear" w:color="auto" w:fill="FFFFFF"/>
        </w:rPr>
        <w:t>)</w:t>
      </w:r>
      <w:r w:rsidRPr="00711FCF">
        <w:rPr>
          <w:rFonts w:ascii="Arial Nova" w:hAnsi="Arial Nova" w:cs="Arial"/>
          <w:color w:val="333333"/>
          <w:sz w:val="21"/>
          <w:szCs w:val="21"/>
          <w:shd w:val="clear" w:color="auto" w:fill="FFFFFF"/>
        </w:rPr>
        <w:t xml:space="preserve">  </w:t>
      </w:r>
      <w:r w:rsidR="00316F7E" w:rsidRPr="00711FCF">
        <w:rPr>
          <w:rFonts w:ascii="Arial Nova" w:hAnsi="Arial Nova" w:cs="Arial"/>
          <w:color w:val="333333"/>
          <w:sz w:val="21"/>
          <w:szCs w:val="21"/>
          <w:shd w:val="clear" w:color="auto" w:fill="FFFFFF"/>
        </w:rPr>
        <w:t>R</w:t>
      </w:r>
      <w:r w:rsidRPr="00711FCF">
        <w:rPr>
          <w:rFonts w:ascii="Arial Nova" w:hAnsi="Arial Nova" w:cs="Arial"/>
          <w:color w:val="333333"/>
          <w:sz w:val="21"/>
          <w:szCs w:val="21"/>
          <w:shd w:val="clear" w:color="auto" w:fill="FFFFFF"/>
        </w:rPr>
        <w:t>esulta claro que la entidad estatal contratante es la verdadera titular del riesgo asegurable y, por ende, le corresponde la posición del asegurado y, además, </w:t>
      </w:r>
      <w:proofErr w:type="spellStart"/>
      <w:r w:rsidRPr="00711FCF">
        <w:rPr>
          <w:rFonts w:ascii="Arial Nova" w:hAnsi="Arial Nova" w:cs="Arial"/>
          <w:b/>
          <w:bCs/>
          <w:i/>
          <w:iCs/>
          <w:color w:val="333333"/>
          <w:sz w:val="21"/>
          <w:szCs w:val="21"/>
          <w:shd w:val="clear" w:color="auto" w:fill="FFFFFF"/>
        </w:rPr>
        <w:t>iii</w:t>
      </w:r>
      <w:proofErr w:type="spellEnd"/>
      <w:r w:rsidRPr="00711FCF">
        <w:rPr>
          <w:rFonts w:ascii="Arial Nova" w:hAnsi="Arial Nova" w:cs="Arial"/>
          <w:b/>
          <w:bCs/>
          <w:i/>
          <w:iCs/>
          <w:color w:val="333333"/>
          <w:sz w:val="21"/>
          <w:szCs w:val="21"/>
          <w:shd w:val="clear" w:color="auto" w:fill="FFFFFF"/>
        </w:rPr>
        <w:t>)</w:t>
      </w:r>
      <w:r w:rsidRPr="00711FCF">
        <w:rPr>
          <w:rFonts w:ascii="Arial Nova" w:hAnsi="Arial Nova" w:cs="Arial"/>
          <w:b/>
          <w:bCs/>
          <w:color w:val="333333"/>
          <w:sz w:val="21"/>
          <w:szCs w:val="21"/>
          <w:shd w:val="clear" w:color="auto" w:fill="FFFFFF"/>
        </w:rPr>
        <w:t> </w:t>
      </w:r>
      <w:r w:rsidR="00316F7E" w:rsidRPr="00711FCF">
        <w:rPr>
          <w:rFonts w:ascii="Arial Nova" w:hAnsi="Arial Nova" w:cs="Arial"/>
          <w:color w:val="333333"/>
          <w:sz w:val="21"/>
          <w:szCs w:val="21"/>
          <w:shd w:val="clear" w:color="auto" w:fill="FFFFFF"/>
        </w:rPr>
        <w:t>una vez aceptado el Contrato el seguro por la Entidad</w:t>
      </w:r>
      <w:r w:rsidRPr="00711FCF">
        <w:rPr>
          <w:rFonts w:ascii="Arial Nova" w:hAnsi="Arial Nova" w:cs="Arial"/>
          <w:color w:val="333333"/>
          <w:sz w:val="21"/>
          <w:szCs w:val="21"/>
          <w:shd w:val="clear" w:color="auto" w:fill="FFFFFF"/>
        </w:rPr>
        <w:t xml:space="preserve"> </w:t>
      </w:r>
      <w:r w:rsidR="00316F7E" w:rsidRPr="00711FCF">
        <w:rPr>
          <w:rFonts w:ascii="Arial Nova" w:hAnsi="Arial Nova" w:cs="Arial"/>
          <w:color w:val="333333"/>
          <w:sz w:val="21"/>
          <w:szCs w:val="21"/>
          <w:shd w:val="clear" w:color="auto" w:fill="FFFFFF"/>
        </w:rPr>
        <w:t xml:space="preserve">es </w:t>
      </w:r>
      <w:r w:rsidRPr="00711FCF">
        <w:rPr>
          <w:rFonts w:ascii="Arial Nova" w:hAnsi="Arial Nova" w:cs="Arial"/>
          <w:color w:val="333333"/>
          <w:sz w:val="21"/>
          <w:szCs w:val="21"/>
          <w:shd w:val="clear" w:color="auto" w:fill="FFFFFF"/>
        </w:rPr>
        <w:t>la única legitimada para exigirle a la aseguradora el pago de las obligaciones indemnizatorias, en los eventos en que acaezca el respectivo siniestro.</w:t>
      </w:r>
    </w:p>
    <w:p w14:paraId="50D0971A" w14:textId="77777777" w:rsidR="007070FF" w:rsidRPr="00711FCF" w:rsidRDefault="007070FF" w:rsidP="00711FCF">
      <w:pPr>
        <w:jc w:val="both"/>
        <w:rPr>
          <w:rFonts w:ascii="Arial Nova" w:hAnsi="Arial Nova"/>
          <w:lang w:val="es-MX"/>
        </w:rPr>
      </w:pPr>
    </w:p>
    <w:p w14:paraId="193E87DE" w14:textId="2C58F5E4" w:rsidR="007070FF" w:rsidRPr="00711FCF" w:rsidRDefault="00316F7E" w:rsidP="00711FCF">
      <w:pPr>
        <w:jc w:val="both"/>
        <w:rPr>
          <w:rFonts w:ascii="Arial Nova" w:hAnsi="Arial Nova"/>
          <w:lang w:val="es-MX"/>
        </w:rPr>
      </w:pPr>
      <w:r w:rsidRPr="00711FCF">
        <w:rPr>
          <w:rFonts w:ascii="Arial Nova" w:hAnsi="Arial Nova"/>
          <w:lang w:val="es-MX"/>
        </w:rPr>
        <w:t>C-</w:t>
      </w:r>
      <w:r w:rsidR="006C58E6" w:rsidRPr="00711FCF">
        <w:rPr>
          <w:rFonts w:ascii="Arial Nova" w:hAnsi="Arial Nova"/>
        </w:rPr>
        <w:t xml:space="preserve"> Según lo establecido en </w:t>
      </w:r>
      <w:r w:rsidR="006C58E6" w:rsidRPr="00711FCF">
        <w:rPr>
          <w:rFonts w:ascii="Arial Nova" w:hAnsi="Arial Nova"/>
          <w:lang w:val="es-MX"/>
        </w:rPr>
        <w:t xml:space="preserve">Artículo 2.2.1.2.3.1.18 Decreto 1082 de 2015.La Entidad Estatal debe solicitar la modificación de la garantía única de cumplimiento cuando: i) efectúa reclamaciones y el valor de la garantía se reduce; </w:t>
      </w:r>
      <w:proofErr w:type="spellStart"/>
      <w:r w:rsidR="006C58E6" w:rsidRPr="00711FCF">
        <w:rPr>
          <w:rFonts w:ascii="Arial Nova" w:hAnsi="Arial Nova"/>
          <w:lang w:val="es-MX"/>
        </w:rPr>
        <w:t>ii</w:t>
      </w:r>
      <w:proofErr w:type="spellEnd"/>
      <w:r w:rsidR="006C58E6" w:rsidRPr="00711FCF">
        <w:rPr>
          <w:rFonts w:ascii="Arial Nova" w:hAnsi="Arial Nova"/>
          <w:lang w:val="es-MX"/>
        </w:rPr>
        <w:t xml:space="preserve">) el valor del contrato es incrementado; </w:t>
      </w:r>
      <w:proofErr w:type="spellStart"/>
      <w:r w:rsidR="006C58E6" w:rsidRPr="00711FCF">
        <w:rPr>
          <w:rFonts w:ascii="Arial Nova" w:hAnsi="Arial Nova"/>
          <w:lang w:val="es-MX"/>
        </w:rPr>
        <w:t>iii</w:t>
      </w:r>
      <w:proofErr w:type="spellEnd"/>
      <w:r w:rsidR="006C58E6" w:rsidRPr="00711FCF">
        <w:rPr>
          <w:rFonts w:ascii="Arial Nova" w:hAnsi="Arial Nova"/>
          <w:lang w:val="es-MX"/>
        </w:rPr>
        <w:t>) el plazo de ejecución del contrato es prorrogado o se suspende la ejecución del contrato.</w:t>
      </w:r>
      <w:r w:rsidR="006C58E6" w:rsidRPr="00711FCF">
        <w:rPr>
          <w:rFonts w:ascii="Arial Nova" w:hAnsi="Arial Nova"/>
          <w:lang w:val="es-MX"/>
        </w:rPr>
        <w:t xml:space="preserve"> Así mismo, </w:t>
      </w:r>
      <w:r w:rsidR="006C58E6" w:rsidRPr="00711FCF">
        <w:rPr>
          <w:rFonts w:ascii="Arial Nova" w:hAnsi="Arial Nova"/>
          <w:lang w:val="es-MX"/>
        </w:rPr>
        <w:t>De acuerdo con lo establecido en la Ley 80 de 1993 (artículo 41 modificado por el artículo 23 de la ley 1150 de 2007), la aprobación de la garantía es un requisito de ejecución del contrato, al igual que de las prórrogas o adiciones que se realicen al mismo. Por tanto, si la Entidad Estatal no aprueba la garantía no podrá iniciar o continuar con la ejecución del contrato, cuando requiere de la ampliación de la garantía.</w:t>
      </w:r>
      <w:r w:rsidR="006C58E6" w:rsidRPr="00711FCF">
        <w:rPr>
          <w:rFonts w:ascii="Arial Nova" w:hAnsi="Arial Nova"/>
          <w:lang w:val="es-MX"/>
        </w:rPr>
        <w:t>(</w:t>
      </w:r>
      <w:r w:rsidRPr="00711FCF">
        <w:rPr>
          <w:rFonts w:ascii="Arial Nova" w:hAnsi="Arial Nova"/>
          <w:lang w:val="es-MX"/>
        </w:rPr>
        <w:t>Ley 1150 de 2007, artículo 23</w:t>
      </w:r>
      <w:r w:rsidR="006C58E6" w:rsidRPr="00711FCF">
        <w:rPr>
          <w:rFonts w:ascii="Arial Nova" w:hAnsi="Arial Nova"/>
          <w:lang w:val="es-MX"/>
        </w:rPr>
        <w:t>)</w:t>
      </w:r>
    </w:p>
    <w:p w14:paraId="3EF64353" w14:textId="08414264" w:rsidR="007070FF" w:rsidRPr="00711FCF" w:rsidRDefault="006C58E6" w:rsidP="00711FCF">
      <w:pPr>
        <w:jc w:val="both"/>
        <w:rPr>
          <w:rFonts w:ascii="Arial Nova" w:hAnsi="Arial Nova"/>
          <w:lang w:val="es-MX"/>
        </w:rPr>
      </w:pPr>
      <w:r w:rsidRPr="00711FCF">
        <w:rPr>
          <w:rFonts w:ascii="Arial Nova" w:hAnsi="Arial Nova"/>
          <w:lang w:val="es-MX"/>
        </w:rPr>
        <w:t xml:space="preserve">D- Respecto del presunto incumplimiento del contrato 2022-1114 </w:t>
      </w:r>
      <w:r w:rsidR="007070FF" w:rsidRPr="00711FCF">
        <w:rPr>
          <w:rFonts w:ascii="Arial Nova" w:hAnsi="Arial Nova"/>
          <w:lang w:val="es-MX"/>
        </w:rPr>
        <w:t xml:space="preserve">únicamente sería viable frente al contratista (aparentemente), frente a una sanción de cláusula penal, por cuanto, actualmente el contrato </w:t>
      </w:r>
      <w:r w:rsidRPr="00711FCF">
        <w:rPr>
          <w:rFonts w:ascii="Arial Nova" w:hAnsi="Arial Nova"/>
          <w:lang w:val="es-MX"/>
        </w:rPr>
        <w:t xml:space="preserve">se encuentra finalizado en su ejecución y </w:t>
      </w:r>
      <w:r w:rsidR="007070FF" w:rsidRPr="00711FCF">
        <w:rPr>
          <w:rFonts w:ascii="Arial Nova" w:hAnsi="Arial Nova"/>
          <w:lang w:val="es-MX"/>
        </w:rPr>
        <w:t xml:space="preserve">(conforme a lo señalado por la supervisión) se encuentra desamparado, al no contar con una garantía vigente.  Aunado a lo anterior, en el evento en que la póliza inicial contara con el amparo de cumplimiento vigente, tampoco podría ser llamada la aseguradora al proceso sancionatorio en calidad de garante del contrato, en el entendido de que la obligación posiblemente incumplida corresponde a no haber aportado la póliza en las condiciones exigidas en el contrato. </w:t>
      </w:r>
    </w:p>
    <w:p w14:paraId="08818C3D" w14:textId="00924149" w:rsidR="007070FF" w:rsidRPr="00711FCF" w:rsidRDefault="006C58E6" w:rsidP="00711FCF">
      <w:pPr>
        <w:jc w:val="both"/>
        <w:rPr>
          <w:rFonts w:ascii="Arial Nova" w:hAnsi="Arial Nova"/>
          <w:lang w:val="es-MX"/>
        </w:rPr>
      </w:pPr>
      <w:r w:rsidRPr="00711FCF">
        <w:rPr>
          <w:rFonts w:ascii="Arial Nova" w:hAnsi="Arial Nova"/>
          <w:lang w:val="es-MX"/>
        </w:rPr>
        <w:t>E-Una</w:t>
      </w:r>
      <w:r w:rsidR="007070FF" w:rsidRPr="00711FCF">
        <w:rPr>
          <w:rFonts w:ascii="Arial Nova" w:hAnsi="Arial Nova"/>
          <w:lang w:val="es-MX"/>
        </w:rPr>
        <w:t xml:space="preserve"> vez analizados los hechos expuestos en diversas reuniones, el Grupo Sancionatorio, se percató que en la ejecución del contrato interadministrativo de interventoría 2022-1114, se presentaron falencias evidentes en la gestión tanto por parte de la supervisión del contrato interadministrativo de interventoría 2022-1114, como por parte de la Dirección de Contratación de la Secretaría Distrital de Movilidad, por cuanto, se ejecutó con una póliza que no fue aprobada por estar mal las fechas, se suscribieron modificaciones contractuales, en las que no hubo modificaciones al anexo de la garantía, y un mes antes de finalizar el plazo de ejecución, se suspendió el plazo por no contar con una aprobación de la garantía, de hecho, se finalizó el plazo de ejecución sin que se contara con una aprobación de la garantía inicial, por lo cual, se </w:t>
      </w:r>
      <w:r w:rsidRPr="00711FCF">
        <w:rPr>
          <w:rFonts w:ascii="Arial Nova" w:hAnsi="Arial Nova"/>
          <w:lang w:val="es-MX"/>
        </w:rPr>
        <w:t>está</w:t>
      </w:r>
      <w:r w:rsidR="007070FF" w:rsidRPr="00711FCF">
        <w:rPr>
          <w:rFonts w:ascii="Arial Nova" w:hAnsi="Arial Nova"/>
          <w:lang w:val="es-MX"/>
        </w:rPr>
        <w:t xml:space="preserve"> en un escenario, en el que el contrato se ejecutó si aprobación, de </w:t>
      </w:r>
      <w:r w:rsidRPr="00711FCF">
        <w:rPr>
          <w:rFonts w:ascii="Arial Nova" w:hAnsi="Arial Nova"/>
          <w:lang w:val="es-MX"/>
        </w:rPr>
        <w:t>los anexos de la garantía</w:t>
      </w:r>
      <w:r w:rsidR="007070FF" w:rsidRPr="00711FCF">
        <w:rPr>
          <w:rFonts w:ascii="Arial Nova" w:hAnsi="Arial Nova"/>
          <w:lang w:val="es-MX"/>
        </w:rPr>
        <w:t xml:space="preserve">, es decir, no se cumplieron con los requisitos jurídicos para el perfeccionamiento de un contrato estatal, y se efectuaron modificaciones contractuales a un contrato desamparado. Aunado a lo anterior, no se cuenta con una póliza que permita la liquidación </w:t>
      </w:r>
      <w:proofErr w:type="gramStart"/>
      <w:r w:rsidR="007070FF" w:rsidRPr="00711FCF">
        <w:rPr>
          <w:rFonts w:ascii="Arial Nova" w:hAnsi="Arial Nova"/>
          <w:lang w:val="es-MX"/>
        </w:rPr>
        <w:t>del mismo</w:t>
      </w:r>
      <w:proofErr w:type="gramEnd"/>
      <w:r w:rsidR="007070FF" w:rsidRPr="00711FCF">
        <w:rPr>
          <w:rFonts w:ascii="Arial Nova" w:hAnsi="Arial Nova"/>
          <w:lang w:val="es-MX"/>
        </w:rPr>
        <w:t>.</w:t>
      </w:r>
    </w:p>
    <w:p w14:paraId="5EEA5E09" w14:textId="09704E12" w:rsidR="006C58E6" w:rsidRPr="00711FCF" w:rsidRDefault="006C58E6" w:rsidP="00711FCF">
      <w:pPr>
        <w:jc w:val="both"/>
        <w:rPr>
          <w:rFonts w:ascii="Arial Nova" w:hAnsi="Arial Nova"/>
          <w:lang w:val="es-MX"/>
        </w:rPr>
      </w:pPr>
      <w:r w:rsidRPr="00711FCF">
        <w:rPr>
          <w:rFonts w:ascii="Arial Nova" w:hAnsi="Arial Nova"/>
          <w:lang w:val="es-MX"/>
        </w:rPr>
        <w:t>F- Respecto al actuar del contratista son claras sus obligaciones contractuales en referencia a las pólizas del contrato y son:</w:t>
      </w:r>
    </w:p>
    <w:p w14:paraId="3F2D8460" w14:textId="3954FD3B" w:rsidR="006C58E6" w:rsidRPr="00711FCF" w:rsidRDefault="00711FCF" w:rsidP="00711FCF">
      <w:pPr>
        <w:jc w:val="both"/>
        <w:rPr>
          <w:rFonts w:ascii="Arial Nova" w:eastAsia="Arial Narrow" w:hAnsi="Arial Nova" w:cs="Arial Narrow"/>
        </w:rPr>
      </w:pPr>
      <w:r w:rsidRPr="00711FCF">
        <w:rPr>
          <w:rFonts w:ascii="Arial Nova" w:eastAsia="Arial Narrow" w:hAnsi="Arial Nova" w:cs="Arial Narrow"/>
        </w:rPr>
        <w:lastRenderedPageBreak/>
        <w:t>“</w:t>
      </w:r>
      <w:r w:rsidRPr="00711FCF">
        <w:rPr>
          <w:rFonts w:ascii="Arial Nova" w:eastAsia="Arial Narrow" w:hAnsi="Arial Nova" w:cs="Arial Narrow"/>
        </w:rPr>
        <w:t xml:space="preserve">Constituir la garantía única a favor de la </w:t>
      </w:r>
      <w:proofErr w:type="spellStart"/>
      <w:r w:rsidRPr="00711FCF">
        <w:rPr>
          <w:rFonts w:ascii="Arial Nova" w:eastAsia="Arial Narrow" w:hAnsi="Arial Nova" w:cs="Arial Narrow"/>
        </w:rPr>
        <w:t>SDM</w:t>
      </w:r>
      <w:proofErr w:type="spellEnd"/>
      <w:r w:rsidRPr="00711FCF">
        <w:rPr>
          <w:rFonts w:ascii="Arial Nova" w:eastAsia="Arial Narrow" w:hAnsi="Arial Nova" w:cs="Arial Narrow"/>
        </w:rPr>
        <w:t xml:space="preserve"> en los términos establecidos en este documento y mantener vigentes las garantías durante el término de ejecución y liquidación del Anexo Derivado, por los valores y amparos previstos en el mismo.</w:t>
      </w:r>
      <w:r w:rsidRPr="00711FCF">
        <w:rPr>
          <w:rFonts w:ascii="Arial Nova" w:eastAsia="Arial Narrow" w:hAnsi="Arial Nova" w:cs="Arial Narrow"/>
        </w:rPr>
        <w:t>”</w:t>
      </w:r>
    </w:p>
    <w:p w14:paraId="2E7D6FB7" w14:textId="7A173748" w:rsidR="00711FCF" w:rsidRDefault="00711FCF" w:rsidP="00711FCF">
      <w:pPr>
        <w:jc w:val="both"/>
        <w:rPr>
          <w:rFonts w:ascii="Arial Nova" w:eastAsia="Arial Narrow" w:hAnsi="Arial Nova" w:cs="Arial Narrow"/>
        </w:rPr>
      </w:pPr>
      <w:r>
        <w:rPr>
          <w:rFonts w:ascii="Arial Nova" w:eastAsia="Arial Narrow" w:hAnsi="Arial Nova" w:cs="Arial Narrow"/>
        </w:rPr>
        <w:t>Al respecto desde el grupo de sancionatorios evidenciamos que las obligaciones presuntamente incumplidas por parte de la Universidad Distrital Francisco José de Caldas, están soportadas en la generación de siete (7) anexos al contrato de seguro, situación que denota la intención de mantener vigentes las pólizas del contrato, ya que se sobre entiende que como tomador en el contrato de seguro cumplió con su obligación de informar los cambios y pagar el valor de la prima correspondiente, pero los anexos fueron rechazadas por parte de la Entidad al final del plazo de ejecución de la segunda prorroga y adición.</w:t>
      </w:r>
    </w:p>
    <w:p w14:paraId="0142E6C2" w14:textId="3A36C205" w:rsidR="00711FCF" w:rsidRPr="00711FCF" w:rsidRDefault="00711FCF" w:rsidP="00711FCF">
      <w:pPr>
        <w:jc w:val="both"/>
        <w:rPr>
          <w:rFonts w:ascii="Arial Nova" w:hAnsi="Arial Nova"/>
          <w:lang w:val="es-MX"/>
        </w:rPr>
      </w:pPr>
      <w:r>
        <w:rPr>
          <w:rFonts w:ascii="Arial Nova" w:eastAsia="Arial Narrow" w:hAnsi="Arial Nova" w:cs="Arial Narrow"/>
        </w:rPr>
        <w:t>Es por estas razones que se requiere del lineamiento y apoyo de la Dirección de contratación en el presente asunto.</w:t>
      </w:r>
    </w:p>
    <w:p w14:paraId="6CEDC5C4" w14:textId="77777777" w:rsidR="007070FF" w:rsidRPr="00711FCF" w:rsidRDefault="007070FF" w:rsidP="00711FCF">
      <w:pPr>
        <w:jc w:val="both"/>
        <w:rPr>
          <w:rFonts w:ascii="Arial Nova" w:hAnsi="Arial Nova"/>
          <w:lang w:val="es-MX"/>
        </w:rPr>
      </w:pPr>
    </w:p>
    <w:p w14:paraId="107E8A9A" w14:textId="77777777" w:rsidR="007070FF" w:rsidRPr="00711FCF" w:rsidRDefault="007070FF" w:rsidP="00711FCF">
      <w:pPr>
        <w:jc w:val="both"/>
        <w:rPr>
          <w:rFonts w:ascii="Arial Nova" w:hAnsi="Arial Nova"/>
          <w:lang w:val="es-MX"/>
        </w:rPr>
      </w:pPr>
    </w:p>
    <w:sectPr w:rsidR="007070FF" w:rsidRPr="00711FC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ova">
    <w:charset w:val="00"/>
    <w:family w:val="swiss"/>
    <w:pitch w:val="variable"/>
    <w:sig w:usb0="0000028F" w:usb1="00000002"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F76C77"/>
    <w:multiLevelType w:val="hybridMultilevel"/>
    <w:tmpl w:val="B5BA2514"/>
    <w:lvl w:ilvl="0" w:tplc="697E9A7A">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675356B"/>
    <w:multiLevelType w:val="hybridMultilevel"/>
    <w:tmpl w:val="2708ABE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ABB4904"/>
    <w:multiLevelType w:val="multilevel"/>
    <w:tmpl w:val="A482ABA6"/>
    <w:lvl w:ilvl="0">
      <w:start w:val="1"/>
      <w:numFmt w:val="decimal"/>
      <w:pStyle w:val="ttuloscpitul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58882722">
    <w:abstractNumId w:val="0"/>
  </w:num>
  <w:num w:numId="2" w16cid:durableId="1512838608">
    <w:abstractNumId w:val="2"/>
  </w:num>
  <w:num w:numId="3" w16cid:durableId="1888568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01A"/>
    <w:rsid w:val="001F549D"/>
    <w:rsid w:val="00290E31"/>
    <w:rsid w:val="00316F7E"/>
    <w:rsid w:val="005221A9"/>
    <w:rsid w:val="006C58E6"/>
    <w:rsid w:val="007070FF"/>
    <w:rsid w:val="00711FCF"/>
    <w:rsid w:val="008B7C18"/>
    <w:rsid w:val="0090001A"/>
    <w:rsid w:val="009255A4"/>
    <w:rsid w:val="00B63070"/>
    <w:rsid w:val="00C8181C"/>
    <w:rsid w:val="00C9178E"/>
    <w:rsid w:val="00D239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E9BFF"/>
  <w15:chartTrackingRefBased/>
  <w15:docId w15:val="{349D13F6-59DE-4847-AF1E-E8F2A077D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scpitulo">
    <w:name w:val="títulos cápitulo"/>
    <w:basedOn w:val="Ttulo"/>
    <w:link w:val="ttuloscpituloCar"/>
    <w:qFormat/>
    <w:rsid w:val="00D23984"/>
    <w:pPr>
      <w:widowControl w:val="0"/>
      <w:numPr>
        <w:numId w:val="2"/>
      </w:numPr>
      <w:suppressAutoHyphens/>
      <w:ind w:hanging="360"/>
    </w:pPr>
    <w:rPr>
      <w:rFonts w:ascii="Arial" w:hAnsi="Arial"/>
      <w:b/>
      <w:sz w:val="24"/>
      <w:lang w:eastAsia="es-CO"/>
    </w:rPr>
  </w:style>
  <w:style w:type="character" w:customStyle="1" w:styleId="ttuloscpituloCar">
    <w:name w:val="títulos cápitulo Car"/>
    <w:basedOn w:val="TtuloCar"/>
    <w:link w:val="ttuloscpitulo"/>
    <w:rsid w:val="00D23984"/>
    <w:rPr>
      <w:rFonts w:ascii="Arial" w:eastAsiaTheme="majorEastAsia" w:hAnsi="Arial" w:cstheme="majorBidi"/>
      <w:b/>
      <w:spacing w:val="-10"/>
      <w:kern w:val="28"/>
      <w:sz w:val="24"/>
      <w:szCs w:val="56"/>
      <w:lang w:eastAsia="es-CO"/>
    </w:rPr>
  </w:style>
  <w:style w:type="paragraph" w:styleId="Ttulo">
    <w:name w:val="Title"/>
    <w:basedOn w:val="Normal"/>
    <w:next w:val="Normal"/>
    <w:link w:val="TtuloCar"/>
    <w:uiPriority w:val="10"/>
    <w:qFormat/>
    <w:rsid w:val="00D2398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23984"/>
    <w:rPr>
      <w:rFonts w:asciiTheme="majorHAnsi" w:eastAsiaTheme="majorEastAsia" w:hAnsiTheme="majorHAnsi" w:cstheme="majorBidi"/>
      <w:spacing w:val="-10"/>
      <w:kern w:val="28"/>
      <w:sz w:val="56"/>
      <w:szCs w:val="56"/>
    </w:rPr>
  </w:style>
  <w:style w:type="paragraph" w:styleId="Prrafodelista">
    <w:name w:val="List Paragraph"/>
    <w:basedOn w:val="Normal"/>
    <w:uiPriority w:val="34"/>
    <w:qFormat/>
    <w:rsid w:val="001F549D"/>
    <w:pPr>
      <w:ind w:left="720"/>
      <w:contextualSpacing/>
    </w:pPr>
  </w:style>
  <w:style w:type="paragraph" w:styleId="NormalWeb">
    <w:name w:val="Normal (Web)"/>
    <w:basedOn w:val="Normal"/>
    <w:uiPriority w:val="99"/>
    <w:unhideWhenUsed/>
    <w:rsid w:val="007070FF"/>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785D70A-278E-40BC-80E9-2F72A12C0387}" type="doc">
      <dgm:prSet loTypeId="urn:microsoft.com/office/officeart/2009/3/layout/StepUpProcess" loCatId="process" qsTypeId="urn:microsoft.com/office/officeart/2005/8/quickstyle/simple1" qsCatId="simple" csTypeId="urn:microsoft.com/office/officeart/2005/8/colors/accent1_2" csCatId="accent1" phldr="1"/>
      <dgm:spPr/>
    </dgm:pt>
    <dgm:pt modelId="{63FE6E12-F5A6-4A8D-A8D0-7991323D23E3}">
      <dgm:prSet phldrT="[Texto]"/>
      <dgm:spPr/>
      <dgm:t>
        <a:bodyPr/>
        <a:lstStyle/>
        <a:p>
          <a:r>
            <a:rPr lang="es-CO" b="1"/>
            <a:t>fecha de suscripción del contrato : </a:t>
          </a:r>
          <a:r>
            <a:rPr lang="es-CO"/>
            <a:t>29 de junio de 2022 contrato por 10 meses al 30 de abril de 2023</a:t>
          </a:r>
        </a:p>
      </dgm:t>
    </dgm:pt>
    <dgm:pt modelId="{88E2E9D9-32E8-4FDF-984A-F9CF6E2B3676}" type="parTrans" cxnId="{87A24F44-734D-4F6D-B3AA-3100BBD3E56A}">
      <dgm:prSet/>
      <dgm:spPr/>
      <dgm:t>
        <a:bodyPr/>
        <a:lstStyle/>
        <a:p>
          <a:endParaRPr lang="es-CO"/>
        </a:p>
      </dgm:t>
    </dgm:pt>
    <dgm:pt modelId="{C3B305AC-5AFE-43B8-BE0B-43A2EC45834F}" type="sibTrans" cxnId="{87A24F44-734D-4F6D-B3AA-3100BBD3E56A}">
      <dgm:prSet/>
      <dgm:spPr/>
      <dgm:t>
        <a:bodyPr/>
        <a:lstStyle/>
        <a:p>
          <a:endParaRPr lang="es-CO"/>
        </a:p>
      </dgm:t>
    </dgm:pt>
    <dgm:pt modelId="{7A9627DA-C272-4DA8-8D1D-8CC98385AFF1}">
      <dgm:prSet phldrT="[Texto]"/>
      <dgm:spPr/>
      <dgm:t>
        <a:bodyPr/>
        <a:lstStyle/>
        <a:p>
          <a:r>
            <a:rPr lang="es-CO" b="1"/>
            <a:t>fecha de aprobación de las garantias de cumplimiento :</a:t>
          </a:r>
          <a:r>
            <a:rPr lang="es-CO"/>
            <a:t>1 de julio de 2022 </a:t>
          </a:r>
          <a:r>
            <a:rPr lang="es-CO">
              <a:solidFill>
                <a:srgbClr val="FF0000"/>
              </a:solidFill>
            </a:rPr>
            <a:t>UNICAS GARANTÍAS APROBADAS</a:t>
          </a:r>
          <a:endParaRPr lang="es-CO"/>
        </a:p>
      </dgm:t>
    </dgm:pt>
    <dgm:pt modelId="{11FCCBE7-34A2-4AD8-BA67-617E88D169A8}" type="parTrans" cxnId="{2109CBBB-C6E3-4F54-A591-93EF44E8E44D}">
      <dgm:prSet/>
      <dgm:spPr/>
      <dgm:t>
        <a:bodyPr/>
        <a:lstStyle/>
        <a:p>
          <a:endParaRPr lang="es-CO"/>
        </a:p>
      </dgm:t>
    </dgm:pt>
    <dgm:pt modelId="{EDED5A88-E3D3-4474-BFEC-207DEB3A3E96}" type="sibTrans" cxnId="{2109CBBB-C6E3-4F54-A591-93EF44E8E44D}">
      <dgm:prSet/>
      <dgm:spPr/>
      <dgm:t>
        <a:bodyPr/>
        <a:lstStyle/>
        <a:p>
          <a:endParaRPr lang="es-CO"/>
        </a:p>
      </dgm:t>
    </dgm:pt>
    <dgm:pt modelId="{097688BE-DE8C-4ABB-90D4-D7EA259D1F19}">
      <dgm:prSet phldrT="[Texto]"/>
      <dgm:spPr/>
      <dgm:t>
        <a:bodyPr/>
        <a:lstStyle/>
        <a:p>
          <a:r>
            <a:rPr lang="es-CO" b="1"/>
            <a:t>fecha del acta de inicio </a:t>
          </a:r>
          <a:r>
            <a:rPr lang="es-CO"/>
            <a:t>1 de julio de 2022</a:t>
          </a:r>
        </a:p>
      </dgm:t>
    </dgm:pt>
    <dgm:pt modelId="{8F8E08D3-6B9F-4242-9416-A498DBE6BAC2}" type="parTrans" cxnId="{572F6C21-C231-4162-A8CF-2FA4DB5299DB}">
      <dgm:prSet/>
      <dgm:spPr/>
      <dgm:t>
        <a:bodyPr/>
        <a:lstStyle/>
        <a:p>
          <a:endParaRPr lang="es-CO"/>
        </a:p>
      </dgm:t>
    </dgm:pt>
    <dgm:pt modelId="{C9D305E9-4976-44D9-B4B6-C6CC14C566D9}" type="sibTrans" cxnId="{572F6C21-C231-4162-A8CF-2FA4DB5299DB}">
      <dgm:prSet/>
      <dgm:spPr/>
      <dgm:t>
        <a:bodyPr/>
        <a:lstStyle/>
        <a:p>
          <a:endParaRPr lang="es-CO"/>
        </a:p>
      </dgm:t>
    </dgm:pt>
    <dgm:pt modelId="{FC84EC38-2F55-4D83-9818-F25715388313}">
      <dgm:prSet phldrT="[Texto]"/>
      <dgm:spPr/>
      <dgm:t>
        <a:bodyPr/>
        <a:lstStyle/>
        <a:p>
          <a:r>
            <a:rPr lang="es-CO" b="1"/>
            <a:t>Prórroga 1</a:t>
          </a:r>
          <a:r>
            <a:rPr lang="es-CO"/>
            <a:t>: por (2meses) 1 de mayo de 2023 al 30 de junio de 2023 y adición por $516.206.427</a:t>
          </a:r>
        </a:p>
      </dgm:t>
    </dgm:pt>
    <dgm:pt modelId="{A55B634F-7316-4572-830A-14019E6DDEEC}" type="parTrans" cxnId="{511B790C-1DC4-436F-B455-A10A5E6A0372}">
      <dgm:prSet/>
      <dgm:spPr/>
      <dgm:t>
        <a:bodyPr/>
        <a:lstStyle/>
        <a:p>
          <a:endParaRPr lang="es-CO"/>
        </a:p>
      </dgm:t>
    </dgm:pt>
    <dgm:pt modelId="{6EB15F6A-A055-4816-815A-45D7E307DB8D}" type="sibTrans" cxnId="{511B790C-1DC4-436F-B455-A10A5E6A0372}">
      <dgm:prSet/>
      <dgm:spPr/>
      <dgm:t>
        <a:bodyPr/>
        <a:lstStyle/>
        <a:p>
          <a:endParaRPr lang="es-CO"/>
        </a:p>
      </dgm:t>
    </dgm:pt>
    <dgm:pt modelId="{8B015887-619E-4738-8057-22069AAA9A76}">
      <dgm:prSet phldrT="[Texto]"/>
      <dgm:spPr/>
      <dgm:t>
        <a:bodyPr/>
        <a:lstStyle/>
        <a:p>
          <a:r>
            <a:rPr lang="es-CO" b="1"/>
            <a:t>Prórroga 2 </a:t>
          </a:r>
          <a:r>
            <a:rPr lang="es-CO"/>
            <a:t>:  por (5 meses) del 1 de julio de 2023 al 30 de noviembre de 2023 y adición por $1.073.531.136</a:t>
          </a:r>
        </a:p>
      </dgm:t>
    </dgm:pt>
    <dgm:pt modelId="{70149C86-7E6C-4457-B479-FE360C2BFFCA}" type="parTrans" cxnId="{7136170F-2808-4E0A-9210-394CFE911887}">
      <dgm:prSet/>
      <dgm:spPr/>
      <dgm:t>
        <a:bodyPr/>
        <a:lstStyle/>
        <a:p>
          <a:endParaRPr lang="es-CO"/>
        </a:p>
      </dgm:t>
    </dgm:pt>
    <dgm:pt modelId="{35F6E8AB-C47F-437B-AB21-E5BCC44099EE}" type="sibTrans" cxnId="{7136170F-2808-4E0A-9210-394CFE911887}">
      <dgm:prSet/>
      <dgm:spPr/>
      <dgm:t>
        <a:bodyPr/>
        <a:lstStyle/>
        <a:p>
          <a:endParaRPr lang="es-CO"/>
        </a:p>
      </dgm:t>
    </dgm:pt>
    <dgm:pt modelId="{83E1D617-0C5C-439C-B81F-F57DC5ADFBFC}">
      <dgm:prSet phldrT="[Texto]"/>
      <dgm:spPr/>
      <dgm:t>
        <a:bodyPr/>
        <a:lstStyle/>
        <a:p>
          <a:r>
            <a:rPr lang="es-CO" b="1"/>
            <a:t>Suspención del contrato: </a:t>
          </a:r>
          <a:r>
            <a:rPr lang="es-CO"/>
            <a:t>30 de noviembre de 2023  (por disturbios en el Universidad , Orden público) al 6 de diciembre de 2023</a:t>
          </a:r>
        </a:p>
      </dgm:t>
    </dgm:pt>
    <dgm:pt modelId="{23EBF938-EDD0-4A1C-B7BE-3DAE56A56A75}" type="parTrans" cxnId="{65153A50-14B7-4537-AACE-DBD17F7A4FE2}">
      <dgm:prSet/>
      <dgm:spPr/>
      <dgm:t>
        <a:bodyPr/>
        <a:lstStyle/>
        <a:p>
          <a:endParaRPr lang="es-CO"/>
        </a:p>
      </dgm:t>
    </dgm:pt>
    <dgm:pt modelId="{86B54CCE-A8E2-44BA-93B8-992E5B7B0CC9}" type="sibTrans" cxnId="{65153A50-14B7-4537-AACE-DBD17F7A4FE2}">
      <dgm:prSet/>
      <dgm:spPr/>
      <dgm:t>
        <a:bodyPr/>
        <a:lstStyle/>
        <a:p>
          <a:endParaRPr lang="es-CO"/>
        </a:p>
      </dgm:t>
    </dgm:pt>
    <dgm:pt modelId="{370B729E-08F3-4906-B5BD-137E092E18F7}" type="pres">
      <dgm:prSet presAssocID="{1785D70A-278E-40BC-80E9-2F72A12C0387}" presName="rootnode" presStyleCnt="0">
        <dgm:presLayoutVars>
          <dgm:chMax/>
          <dgm:chPref/>
          <dgm:dir/>
          <dgm:animLvl val="lvl"/>
        </dgm:presLayoutVars>
      </dgm:prSet>
      <dgm:spPr/>
    </dgm:pt>
    <dgm:pt modelId="{BCA57A35-9DF2-4F0A-AD42-43513F614B29}" type="pres">
      <dgm:prSet presAssocID="{63FE6E12-F5A6-4A8D-A8D0-7991323D23E3}" presName="composite" presStyleCnt="0"/>
      <dgm:spPr/>
    </dgm:pt>
    <dgm:pt modelId="{ED6BEA5B-5105-4811-8AEB-B0E6B08BCAC9}" type="pres">
      <dgm:prSet presAssocID="{63FE6E12-F5A6-4A8D-A8D0-7991323D23E3}" presName="LShape" presStyleLbl="alignNode1" presStyleIdx="0" presStyleCnt="11"/>
      <dgm:spPr/>
    </dgm:pt>
    <dgm:pt modelId="{164E5FEA-D22C-47FC-911C-F87087BB499A}" type="pres">
      <dgm:prSet presAssocID="{63FE6E12-F5A6-4A8D-A8D0-7991323D23E3}" presName="ParentText" presStyleLbl="revTx" presStyleIdx="0" presStyleCnt="6">
        <dgm:presLayoutVars>
          <dgm:chMax val="0"/>
          <dgm:chPref val="0"/>
          <dgm:bulletEnabled val="1"/>
        </dgm:presLayoutVars>
      </dgm:prSet>
      <dgm:spPr/>
    </dgm:pt>
    <dgm:pt modelId="{7FD0EF0C-81B8-4153-A584-8BAEB0BCA31F}" type="pres">
      <dgm:prSet presAssocID="{63FE6E12-F5A6-4A8D-A8D0-7991323D23E3}" presName="Triangle" presStyleLbl="alignNode1" presStyleIdx="1" presStyleCnt="11"/>
      <dgm:spPr/>
    </dgm:pt>
    <dgm:pt modelId="{06746C10-1380-468A-B913-F8AAF6C9258D}" type="pres">
      <dgm:prSet presAssocID="{C3B305AC-5AFE-43B8-BE0B-43A2EC45834F}" presName="sibTrans" presStyleCnt="0"/>
      <dgm:spPr/>
    </dgm:pt>
    <dgm:pt modelId="{641DBF35-0104-4CE9-9CCC-38026BEF1941}" type="pres">
      <dgm:prSet presAssocID="{C3B305AC-5AFE-43B8-BE0B-43A2EC45834F}" presName="space" presStyleCnt="0"/>
      <dgm:spPr/>
    </dgm:pt>
    <dgm:pt modelId="{B25896DE-269E-4C34-BC8D-8F47B9864482}" type="pres">
      <dgm:prSet presAssocID="{7A9627DA-C272-4DA8-8D1D-8CC98385AFF1}" presName="composite" presStyleCnt="0"/>
      <dgm:spPr/>
    </dgm:pt>
    <dgm:pt modelId="{735722BC-77EA-47E0-9043-8F63FDB46209}" type="pres">
      <dgm:prSet presAssocID="{7A9627DA-C272-4DA8-8D1D-8CC98385AFF1}" presName="LShape" presStyleLbl="alignNode1" presStyleIdx="2" presStyleCnt="11"/>
      <dgm:spPr/>
    </dgm:pt>
    <dgm:pt modelId="{34F1112A-9A7C-4E4B-B99C-AAE6B0F08F60}" type="pres">
      <dgm:prSet presAssocID="{7A9627DA-C272-4DA8-8D1D-8CC98385AFF1}" presName="ParentText" presStyleLbl="revTx" presStyleIdx="1" presStyleCnt="6">
        <dgm:presLayoutVars>
          <dgm:chMax val="0"/>
          <dgm:chPref val="0"/>
          <dgm:bulletEnabled val="1"/>
        </dgm:presLayoutVars>
      </dgm:prSet>
      <dgm:spPr/>
    </dgm:pt>
    <dgm:pt modelId="{2F232C76-2C40-43F8-B415-36E0C95E2594}" type="pres">
      <dgm:prSet presAssocID="{7A9627DA-C272-4DA8-8D1D-8CC98385AFF1}" presName="Triangle" presStyleLbl="alignNode1" presStyleIdx="3" presStyleCnt="11"/>
      <dgm:spPr/>
    </dgm:pt>
    <dgm:pt modelId="{6148DA9E-EE6D-4F57-A53F-4AEF232ADA49}" type="pres">
      <dgm:prSet presAssocID="{EDED5A88-E3D3-4474-BFEC-207DEB3A3E96}" presName="sibTrans" presStyleCnt="0"/>
      <dgm:spPr/>
    </dgm:pt>
    <dgm:pt modelId="{C895E1F3-5015-4C6F-A3B3-2DC3446062FF}" type="pres">
      <dgm:prSet presAssocID="{EDED5A88-E3D3-4474-BFEC-207DEB3A3E96}" presName="space" presStyleCnt="0"/>
      <dgm:spPr/>
    </dgm:pt>
    <dgm:pt modelId="{93BE0355-12CD-422A-ADE7-B75D646CC93D}" type="pres">
      <dgm:prSet presAssocID="{097688BE-DE8C-4ABB-90D4-D7EA259D1F19}" presName="composite" presStyleCnt="0"/>
      <dgm:spPr/>
    </dgm:pt>
    <dgm:pt modelId="{4845A3C1-51D9-4EA2-B683-F0AC336DD69D}" type="pres">
      <dgm:prSet presAssocID="{097688BE-DE8C-4ABB-90D4-D7EA259D1F19}" presName="LShape" presStyleLbl="alignNode1" presStyleIdx="4" presStyleCnt="11"/>
      <dgm:spPr/>
    </dgm:pt>
    <dgm:pt modelId="{6C0DABEE-B7CE-4B5D-9A0A-1809823AC32F}" type="pres">
      <dgm:prSet presAssocID="{097688BE-DE8C-4ABB-90D4-D7EA259D1F19}" presName="ParentText" presStyleLbl="revTx" presStyleIdx="2" presStyleCnt="6">
        <dgm:presLayoutVars>
          <dgm:chMax val="0"/>
          <dgm:chPref val="0"/>
          <dgm:bulletEnabled val="1"/>
        </dgm:presLayoutVars>
      </dgm:prSet>
      <dgm:spPr/>
    </dgm:pt>
    <dgm:pt modelId="{4234AA82-30B5-469D-ADFF-F0D777B0AD43}" type="pres">
      <dgm:prSet presAssocID="{097688BE-DE8C-4ABB-90D4-D7EA259D1F19}" presName="Triangle" presStyleLbl="alignNode1" presStyleIdx="5" presStyleCnt="11"/>
      <dgm:spPr/>
    </dgm:pt>
    <dgm:pt modelId="{9B79A318-B1F0-4876-82AE-249A341422E3}" type="pres">
      <dgm:prSet presAssocID="{C9D305E9-4976-44D9-B4B6-C6CC14C566D9}" presName="sibTrans" presStyleCnt="0"/>
      <dgm:spPr/>
    </dgm:pt>
    <dgm:pt modelId="{7194E519-2E52-444D-ACC4-F1E9B4488DF4}" type="pres">
      <dgm:prSet presAssocID="{C9D305E9-4976-44D9-B4B6-C6CC14C566D9}" presName="space" presStyleCnt="0"/>
      <dgm:spPr/>
    </dgm:pt>
    <dgm:pt modelId="{991C6B4A-4FD9-4241-A023-C5E869167B65}" type="pres">
      <dgm:prSet presAssocID="{FC84EC38-2F55-4D83-9818-F25715388313}" presName="composite" presStyleCnt="0"/>
      <dgm:spPr/>
    </dgm:pt>
    <dgm:pt modelId="{523236E3-C00C-43AB-B4F4-A52581B5E82E}" type="pres">
      <dgm:prSet presAssocID="{FC84EC38-2F55-4D83-9818-F25715388313}" presName="LShape" presStyleLbl="alignNode1" presStyleIdx="6" presStyleCnt="11"/>
      <dgm:spPr/>
    </dgm:pt>
    <dgm:pt modelId="{B8F1021E-95E5-46ED-B524-10AC302F217F}" type="pres">
      <dgm:prSet presAssocID="{FC84EC38-2F55-4D83-9818-F25715388313}" presName="ParentText" presStyleLbl="revTx" presStyleIdx="3" presStyleCnt="6">
        <dgm:presLayoutVars>
          <dgm:chMax val="0"/>
          <dgm:chPref val="0"/>
          <dgm:bulletEnabled val="1"/>
        </dgm:presLayoutVars>
      </dgm:prSet>
      <dgm:spPr/>
    </dgm:pt>
    <dgm:pt modelId="{3ED1FC20-2950-472A-A73C-E9DC8F4D4D5B}" type="pres">
      <dgm:prSet presAssocID="{FC84EC38-2F55-4D83-9818-F25715388313}" presName="Triangle" presStyleLbl="alignNode1" presStyleIdx="7" presStyleCnt="11"/>
      <dgm:spPr/>
    </dgm:pt>
    <dgm:pt modelId="{B9FD342E-6233-4DBD-98FA-790760B6CE59}" type="pres">
      <dgm:prSet presAssocID="{6EB15F6A-A055-4816-815A-45D7E307DB8D}" presName="sibTrans" presStyleCnt="0"/>
      <dgm:spPr/>
    </dgm:pt>
    <dgm:pt modelId="{058AF130-CE08-4559-80AB-B4772967B162}" type="pres">
      <dgm:prSet presAssocID="{6EB15F6A-A055-4816-815A-45D7E307DB8D}" presName="space" presStyleCnt="0"/>
      <dgm:spPr/>
    </dgm:pt>
    <dgm:pt modelId="{A0F4C4FE-88CC-4090-B54C-A8883311A4A8}" type="pres">
      <dgm:prSet presAssocID="{8B015887-619E-4738-8057-22069AAA9A76}" presName="composite" presStyleCnt="0"/>
      <dgm:spPr/>
    </dgm:pt>
    <dgm:pt modelId="{CDC1D310-6586-462E-AA3E-0D28414A30F5}" type="pres">
      <dgm:prSet presAssocID="{8B015887-619E-4738-8057-22069AAA9A76}" presName="LShape" presStyleLbl="alignNode1" presStyleIdx="8" presStyleCnt="11"/>
      <dgm:spPr/>
    </dgm:pt>
    <dgm:pt modelId="{AE0DE361-8CE3-4556-8691-D76AECD9AF50}" type="pres">
      <dgm:prSet presAssocID="{8B015887-619E-4738-8057-22069AAA9A76}" presName="ParentText" presStyleLbl="revTx" presStyleIdx="4" presStyleCnt="6">
        <dgm:presLayoutVars>
          <dgm:chMax val="0"/>
          <dgm:chPref val="0"/>
          <dgm:bulletEnabled val="1"/>
        </dgm:presLayoutVars>
      </dgm:prSet>
      <dgm:spPr/>
    </dgm:pt>
    <dgm:pt modelId="{47F1F79B-458B-44F6-AEF6-8F504BE9B543}" type="pres">
      <dgm:prSet presAssocID="{8B015887-619E-4738-8057-22069AAA9A76}" presName="Triangle" presStyleLbl="alignNode1" presStyleIdx="9" presStyleCnt="11"/>
      <dgm:spPr/>
    </dgm:pt>
    <dgm:pt modelId="{6C8AF11F-9574-45D8-93A2-3DEFD30B3534}" type="pres">
      <dgm:prSet presAssocID="{35F6E8AB-C47F-437B-AB21-E5BCC44099EE}" presName="sibTrans" presStyleCnt="0"/>
      <dgm:spPr/>
    </dgm:pt>
    <dgm:pt modelId="{79707654-3FDF-422D-97AB-766BD49504E3}" type="pres">
      <dgm:prSet presAssocID="{35F6E8AB-C47F-437B-AB21-E5BCC44099EE}" presName="space" presStyleCnt="0"/>
      <dgm:spPr/>
    </dgm:pt>
    <dgm:pt modelId="{614DF2A7-CA81-4004-AE1A-61E196C009E3}" type="pres">
      <dgm:prSet presAssocID="{83E1D617-0C5C-439C-B81F-F57DC5ADFBFC}" presName="composite" presStyleCnt="0"/>
      <dgm:spPr/>
    </dgm:pt>
    <dgm:pt modelId="{80A2DC56-6515-4921-AAA0-3B96E32DAB22}" type="pres">
      <dgm:prSet presAssocID="{83E1D617-0C5C-439C-B81F-F57DC5ADFBFC}" presName="LShape" presStyleLbl="alignNode1" presStyleIdx="10" presStyleCnt="11"/>
      <dgm:spPr/>
    </dgm:pt>
    <dgm:pt modelId="{31B3104D-7DCA-4B78-8230-8D23C2E36546}" type="pres">
      <dgm:prSet presAssocID="{83E1D617-0C5C-439C-B81F-F57DC5ADFBFC}" presName="ParentText" presStyleLbl="revTx" presStyleIdx="5" presStyleCnt="6">
        <dgm:presLayoutVars>
          <dgm:chMax val="0"/>
          <dgm:chPref val="0"/>
          <dgm:bulletEnabled val="1"/>
        </dgm:presLayoutVars>
      </dgm:prSet>
      <dgm:spPr/>
    </dgm:pt>
  </dgm:ptLst>
  <dgm:cxnLst>
    <dgm:cxn modelId="{511B790C-1DC4-436F-B455-A10A5E6A0372}" srcId="{1785D70A-278E-40BC-80E9-2F72A12C0387}" destId="{FC84EC38-2F55-4D83-9818-F25715388313}" srcOrd="3" destOrd="0" parTransId="{A55B634F-7316-4572-830A-14019E6DDEEC}" sibTransId="{6EB15F6A-A055-4816-815A-45D7E307DB8D}"/>
    <dgm:cxn modelId="{7136170F-2808-4E0A-9210-394CFE911887}" srcId="{1785D70A-278E-40BC-80E9-2F72A12C0387}" destId="{8B015887-619E-4738-8057-22069AAA9A76}" srcOrd="4" destOrd="0" parTransId="{70149C86-7E6C-4457-B479-FE360C2BFFCA}" sibTransId="{35F6E8AB-C47F-437B-AB21-E5BCC44099EE}"/>
    <dgm:cxn modelId="{A1D41C10-2AC6-40A6-AF64-DFD1A699800A}" type="presOf" srcId="{FC84EC38-2F55-4D83-9818-F25715388313}" destId="{B8F1021E-95E5-46ED-B524-10AC302F217F}" srcOrd="0" destOrd="0" presId="urn:microsoft.com/office/officeart/2009/3/layout/StepUpProcess"/>
    <dgm:cxn modelId="{572F6C21-C231-4162-A8CF-2FA4DB5299DB}" srcId="{1785D70A-278E-40BC-80E9-2F72A12C0387}" destId="{097688BE-DE8C-4ABB-90D4-D7EA259D1F19}" srcOrd="2" destOrd="0" parTransId="{8F8E08D3-6B9F-4242-9416-A498DBE6BAC2}" sibTransId="{C9D305E9-4976-44D9-B4B6-C6CC14C566D9}"/>
    <dgm:cxn modelId="{87A24F44-734D-4F6D-B3AA-3100BBD3E56A}" srcId="{1785D70A-278E-40BC-80E9-2F72A12C0387}" destId="{63FE6E12-F5A6-4A8D-A8D0-7991323D23E3}" srcOrd="0" destOrd="0" parTransId="{88E2E9D9-32E8-4FDF-984A-F9CF6E2B3676}" sibTransId="{C3B305AC-5AFE-43B8-BE0B-43A2EC45834F}"/>
    <dgm:cxn modelId="{A61C7346-A646-4EAF-8D0C-8A8A54CD45BF}" type="presOf" srcId="{8B015887-619E-4738-8057-22069AAA9A76}" destId="{AE0DE361-8CE3-4556-8691-D76AECD9AF50}" srcOrd="0" destOrd="0" presId="urn:microsoft.com/office/officeart/2009/3/layout/StepUpProcess"/>
    <dgm:cxn modelId="{65153A50-14B7-4537-AACE-DBD17F7A4FE2}" srcId="{1785D70A-278E-40BC-80E9-2F72A12C0387}" destId="{83E1D617-0C5C-439C-B81F-F57DC5ADFBFC}" srcOrd="5" destOrd="0" parTransId="{23EBF938-EDD0-4A1C-B7BE-3DAE56A56A75}" sibTransId="{86B54CCE-A8E2-44BA-93B8-992E5B7B0CC9}"/>
    <dgm:cxn modelId="{19FE668F-9A68-4397-9F85-88DBE0BD1EA7}" type="presOf" srcId="{83E1D617-0C5C-439C-B81F-F57DC5ADFBFC}" destId="{31B3104D-7DCA-4B78-8230-8D23C2E36546}" srcOrd="0" destOrd="0" presId="urn:microsoft.com/office/officeart/2009/3/layout/StepUpProcess"/>
    <dgm:cxn modelId="{2109CBBB-C6E3-4F54-A591-93EF44E8E44D}" srcId="{1785D70A-278E-40BC-80E9-2F72A12C0387}" destId="{7A9627DA-C272-4DA8-8D1D-8CC98385AFF1}" srcOrd="1" destOrd="0" parTransId="{11FCCBE7-34A2-4AD8-BA67-617E88D169A8}" sibTransId="{EDED5A88-E3D3-4474-BFEC-207DEB3A3E96}"/>
    <dgm:cxn modelId="{AB9546CE-34C3-40CB-B310-75219DD162B7}" type="presOf" srcId="{7A9627DA-C272-4DA8-8D1D-8CC98385AFF1}" destId="{34F1112A-9A7C-4E4B-B99C-AAE6B0F08F60}" srcOrd="0" destOrd="0" presId="urn:microsoft.com/office/officeart/2009/3/layout/StepUpProcess"/>
    <dgm:cxn modelId="{AD6541DA-1239-4828-901A-B8225239E7B2}" type="presOf" srcId="{097688BE-DE8C-4ABB-90D4-D7EA259D1F19}" destId="{6C0DABEE-B7CE-4B5D-9A0A-1809823AC32F}" srcOrd="0" destOrd="0" presId="urn:microsoft.com/office/officeart/2009/3/layout/StepUpProcess"/>
    <dgm:cxn modelId="{B28ECBDF-6F8D-4454-976A-A02EF346C921}" type="presOf" srcId="{1785D70A-278E-40BC-80E9-2F72A12C0387}" destId="{370B729E-08F3-4906-B5BD-137E092E18F7}" srcOrd="0" destOrd="0" presId="urn:microsoft.com/office/officeart/2009/3/layout/StepUpProcess"/>
    <dgm:cxn modelId="{DAE415E9-CB93-4540-BD5B-F96B1679E697}" type="presOf" srcId="{63FE6E12-F5A6-4A8D-A8D0-7991323D23E3}" destId="{164E5FEA-D22C-47FC-911C-F87087BB499A}" srcOrd="0" destOrd="0" presId="urn:microsoft.com/office/officeart/2009/3/layout/StepUpProcess"/>
    <dgm:cxn modelId="{DD58F7BA-1C67-41D1-BFE6-2C86BE3BD776}" type="presParOf" srcId="{370B729E-08F3-4906-B5BD-137E092E18F7}" destId="{BCA57A35-9DF2-4F0A-AD42-43513F614B29}" srcOrd="0" destOrd="0" presId="urn:microsoft.com/office/officeart/2009/3/layout/StepUpProcess"/>
    <dgm:cxn modelId="{C8EC951E-1602-4CEF-90C0-0AEF7952E902}" type="presParOf" srcId="{BCA57A35-9DF2-4F0A-AD42-43513F614B29}" destId="{ED6BEA5B-5105-4811-8AEB-B0E6B08BCAC9}" srcOrd="0" destOrd="0" presId="urn:microsoft.com/office/officeart/2009/3/layout/StepUpProcess"/>
    <dgm:cxn modelId="{3BAA3F9C-8378-46EB-ACEF-5B1B4C9FA861}" type="presParOf" srcId="{BCA57A35-9DF2-4F0A-AD42-43513F614B29}" destId="{164E5FEA-D22C-47FC-911C-F87087BB499A}" srcOrd="1" destOrd="0" presId="urn:microsoft.com/office/officeart/2009/3/layout/StepUpProcess"/>
    <dgm:cxn modelId="{E7E89C08-A52E-47B8-8869-7BEBDBBE7D1D}" type="presParOf" srcId="{BCA57A35-9DF2-4F0A-AD42-43513F614B29}" destId="{7FD0EF0C-81B8-4153-A584-8BAEB0BCA31F}" srcOrd="2" destOrd="0" presId="urn:microsoft.com/office/officeart/2009/3/layout/StepUpProcess"/>
    <dgm:cxn modelId="{56CD01B3-5C15-464A-8F63-9667096F9B0B}" type="presParOf" srcId="{370B729E-08F3-4906-B5BD-137E092E18F7}" destId="{06746C10-1380-468A-B913-F8AAF6C9258D}" srcOrd="1" destOrd="0" presId="urn:microsoft.com/office/officeart/2009/3/layout/StepUpProcess"/>
    <dgm:cxn modelId="{6C2BD4E0-1E01-4275-88E2-D2E18CB177B7}" type="presParOf" srcId="{06746C10-1380-468A-B913-F8AAF6C9258D}" destId="{641DBF35-0104-4CE9-9CCC-38026BEF1941}" srcOrd="0" destOrd="0" presId="urn:microsoft.com/office/officeart/2009/3/layout/StepUpProcess"/>
    <dgm:cxn modelId="{0F7BC425-DB47-4F8E-9D5C-EF74CD99A869}" type="presParOf" srcId="{370B729E-08F3-4906-B5BD-137E092E18F7}" destId="{B25896DE-269E-4C34-BC8D-8F47B9864482}" srcOrd="2" destOrd="0" presId="urn:microsoft.com/office/officeart/2009/3/layout/StepUpProcess"/>
    <dgm:cxn modelId="{997B7F4B-2811-4AAD-BD35-116D7FA328ED}" type="presParOf" srcId="{B25896DE-269E-4C34-BC8D-8F47B9864482}" destId="{735722BC-77EA-47E0-9043-8F63FDB46209}" srcOrd="0" destOrd="0" presId="urn:microsoft.com/office/officeart/2009/3/layout/StepUpProcess"/>
    <dgm:cxn modelId="{B4F54D0A-63EB-4CBE-A98E-A92D53FE0551}" type="presParOf" srcId="{B25896DE-269E-4C34-BC8D-8F47B9864482}" destId="{34F1112A-9A7C-4E4B-B99C-AAE6B0F08F60}" srcOrd="1" destOrd="0" presId="urn:microsoft.com/office/officeart/2009/3/layout/StepUpProcess"/>
    <dgm:cxn modelId="{AA81859B-5AB6-4E21-A2D0-9420E8A47907}" type="presParOf" srcId="{B25896DE-269E-4C34-BC8D-8F47B9864482}" destId="{2F232C76-2C40-43F8-B415-36E0C95E2594}" srcOrd="2" destOrd="0" presId="urn:microsoft.com/office/officeart/2009/3/layout/StepUpProcess"/>
    <dgm:cxn modelId="{79DB749A-60CE-4D12-BC0A-30A60CAB2AD7}" type="presParOf" srcId="{370B729E-08F3-4906-B5BD-137E092E18F7}" destId="{6148DA9E-EE6D-4F57-A53F-4AEF232ADA49}" srcOrd="3" destOrd="0" presId="urn:microsoft.com/office/officeart/2009/3/layout/StepUpProcess"/>
    <dgm:cxn modelId="{CDCD33B3-99D8-4CFB-B058-69A1A6F455E3}" type="presParOf" srcId="{6148DA9E-EE6D-4F57-A53F-4AEF232ADA49}" destId="{C895E1F3-5015-4C6F-A3B3-2DC3446062FF}" srcOrd="0" destOrd="0" presId="urn:microsoft.com/office/officeart/2009/3/layout/StepUpProcess"/>
    <dgm:cxn modelId="{6EEC7964-4866-4F46-A643-8A8777BD4F20}" type="presParOf" srcId="{370B729E-08F3-4906-B5BD-137E092E18F7}" destId="{93BE0355-12CD-422A-ADE7-B75D646CC93D}" srcOrd="4" destOrd="0" presId="urn:microsoft.com/office/officeart/2009/3/layout/StepUpProcess"/>
    <dgm:cxn modelId="{64BD2B82-A97E-46D8-827D-FF12E46081AC}" type="presParOf" srcId="{93BE0355-12CD-422A-ADE7-B75D646CC93D}" destId="{4845A3C1-51D9-4EA2-B683-F0AC336DD69D}" srcOrd="0" destOrd="0" presId="urn:microsoft.com/office/officeart/2009/3/layout/StepUpProcess"/>
    <dgm:cxn modelId="{F39D954D-2485-4C9F-BC05-D14B31937FFA}" type="presParOf" srcId="{93BE0355-12CD-422A-ADE7-B75D646CC93D}" destId="{6C0DABEE-B7CE-4B5D-9A0A-1809823AC32F}" srcOrd="1" destOrd="0" presId="urn:microsoft.com/office/officeart/2009/3/layout/StepUpProcess"/>
    <dgm:cxn modelId="{97CC71C4-7DB1-4825-8F3B-9F5C1FA8C9EA}" type="presParOf" srcId="{93BE0355-12CD-422A-ADE7-B75D646CC93D}" destId="{4234AA82-30B5-469D-ADFF-F0D777B0AD43}" srcOrd="2" destOrd="0" presId="urn:microsoft.com/office/officeart/2009/3/layout/StepUpProcess"/>
    <dgm:cxn modelId="{D41609F2-19C1-4FDE-A402-25007B396E04}" type="presParOf" srcId="{370B729E-08F3-4906-B5BD-137E092E18F7}" destId="{9B79A318-B1F0-4876-82AE-249A341422E3}" srcOrd="5" destOrd="0" presId="urn:microsoft.com/office/officeart/2009/3/layout/StepUpProcess"/>
    <dgm:cxn modelId="{793D366B-E0D8-48C2-A362-36AFBF875FC0}" type="presParOf" srcId="{9B79A318-B1F0-4876-82AE-249A341422E3}" destId="{7194E519-2E52-444D-ACC4-F1E9B4488DF4}" srcOrd="0" destOrd="0" presId="urn:microsoft.com/office/officeart/2009/3/layout/StepUpProcess"/>
    <dgm:cxn modelId="{918E7A11-5DDE-45FE-855A-95FD31B0FB29}" type="presParOf" srcId="{370B729E-08F3-4906-B5BD-137E092E18F7}" destId="{991C6B4A-4FD9-4241-A023-C5E869167B65}" srcOrd="6" destOrd="0" presId="urn:microsoft.com/office/officeart/2009/3/layout/StepUpProcess"/>
    <dgm:cxn modelId="{1DBDAF39-21F2-47D8-AFF4-2AA7780050F9}" type="presParOf" srcId="{991C6B4A-4FD9-4241-A023-C5E869167B65}" destId="{523236E3-C00C-43AB-B4F4-A52581B5E82E}" srcOrd="0" destOrd="0" presId="urn:microsoft.com/office/officeart/2009/3/layout/StepUpProcess"/>
    <dgm:cxn modelId="{BB7583C6-E8E7-4F58-8460-30300FACEFED}" type="presParOf" srcId="{991C6B4A-4FD9-4241-A023-C5E869167B65}" destId="{B8F1021E-95E5-46ED-B524-10AC302F217F}" srcOrd="1" destOrd="0" presId="urn:microsoft.com/office/officeart/2009/3/layout/StepUpProcess"/>
    <dgm:cxn modelId="{A4E4915D-BFA1-498D-B284-BAC61137E3E5}" type="presParOf" srcId="{991C6B4A-4FD9-4241-A023-C5E869167B65}" destId="{3ED1FC20-2950-472A-A73C-E9DC8F4D4D5B}" srcOrd="2" destOrd="0" presId="urn:microsoft.com/office/officeart/2009/3/layout/StepUpProcess"/>
    <dgm:cxn modelId="{6EE1E02E-CB8F-4803-8DD2-B27A0FB5502D}" type="presParOf" srcId="{370B729E-08F3-4906-B5BD-137E092E18F7}" destId="{B9FD342E-6233-4DBD-98FA-790760B6CE59}" srcOrd="7" destOrd="0" presId="urn:microsoft.com/office/officeart/2009/3/layout/StepUpProcess"/>
    <dgm:cxn modelId="{ED4A0F8D-28F7-40EA-82EB-4F89031C7399}" type="presParOf" srcId="{B9FD342E-6233-4DBD-98FA-790760B6CE59}" destId="{058AF130-CE08-4559-80AB-B4772967B162}" srcOrd="0" destOrd="0" presId="urn:microsoft.com/office/officeart/2009/3/layout/StepUpProcess"/>
    <dgm:cxn modelId="{16722A63-0E45-4268-A14A-D6D4D7ECC5F3}" type="presParOf" srcId="{370B729E-08F3-4906-B5BD-137E092E18F7}" destId="{A0F4C4FE-88CC-4090-B54C-A8883311A4A8}" srcOrd="8" destOrd="0" presId="urn:microsoft.com/office/officeart/2009/3/layout/StepUpProcess"/>
    <dgm:cxn modelId="{890833FA-C4C8-452A-930D-AE301459E8D8}" type="presParOf" srcId="{A0F4C4FE-88CC-4090-B54C-A8883311A4A8}" destId="{CDC1D310-6586-462E-AA3E-0D28414A30F5}" srcOrd="0" destOrd="0" presId="urn:microsoft.com/office/officeart/2009/3/layout/StepUpProcess"/>
    <dgm:cxn modelId="{D1D156E4-3A4B-41E9-8394-BBAF973A3C85}" type="presParOf" srcId="{A0F4C4FE-88CC-4090-B54C-A8883311A4A8}" destId="{AE0DE361-8CE3-4556-8691-D76AECD9AF50}" srcOrd="1" destOrd="0" presId="urn:microsoft.com/office/officeart/2009/3/layout/StepUpProcess"/>
    <dgm:cxn modelId="{BADCF982-8353-4FE0-B129-274ADF28638D}" type="presParOf" srcId="{A0F4C4FE-88CC-4090-B54C-A8883311A4A8}" destId="{47F1F79B-458B-44F6-AEF6-8F504BE9B543}" srcOrd="2" destOrd="0" presId="urn:microsoft.com/office/officeart/2009/3/layout/StepUpProcess"/>
    <dgm:cxn modelId="{D24CF50B-24EB-4132-A4B6-8647C81D44EB}" type="presParOf" srcId="{370B729E-08F3-4906-B5BD-137E092E18F7}" destId="{6C8AF11F-9574-45D8-93A2-3DEFD30B3534}" srcOrd="9" destOrd="0" presId="urn:microsoft.com/office/officeart/2009/3/layout/StepUpProcess"/>
    <dgm:cxn modelId="{6186A768-A30C-42F2-8CF6-EE34F3F071AC}" type="presParOf" srcId="{6C8AF11F-9574-45D8-93A2-3DEFD30B3534}" destId="{79707654-3FDF-422D-97AB-766BD49504E3}" srcOrd="0" destOrd="0" presId="urn:microsoft.com/office/officeart/2009/3/layout/StepUpProcess"/>
    <dgm:cxn modelId="{9DBA0340-4788-411C-8B3D-6E44728EF6B5}" type="presParOf" srcId="{370B729E-08F3-4906-B5BD-137E092E18F7}" destId="{614DF2A7-CA81-4004-AE1A-61E196C009E3}" srcOrd="10" destOrd="0" presId="urn:microsoft.com/office/officeart/2009/3/layout/StepUpProcess"/>
    <dgm:cxn modelId="{6E2DC6E7-8EB8-46DD-B837-8635C99D6D97}" type="presParOf" srcId="{614DF2A7-CA81-4004-AE1A-61E196C009E3}" destId="{80A2DC56-6515-4921-AAA0-3B96E32DAB22}" srcOrd="0" destOrd="0" presId="urn:microsoft.com/office/officeart/2009/3/layout/StepUpProcess"/>
    <dgm:cxn modelId="{939A4410-1D5D-4076-ABF8-DA59E4C96F0B}" type="presParOf" srcId="{614DF2A7-CA81-4004-AE1A-61E196C009E3}" destId="{31B3104D-7DCA-4B78-8230-8D23C2E36546}" srcOrd="1" destOrd="0" presId="urn:microsoft.com/office/officeart/2009/3/layout/StepUpProcess"/>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D6BEA5B-5105-4811-8AEB-B0E6B08BCAC9}">
      <dsp:nvSpPr>
        <dsp:cNvPr id="0" name=""/>
        <dsp:cNvSpPr/>
      </dsp:nvSpPr>
      <dsp:spPr>
        <a:xfrm rot="5400000">
          <a:off x="682537" y="1128118"/>
          <a:ext cx="579692" cy="964594"/>
        </a:xfrm>
        <a:prstGeom prst="corner">
          <a:avLst>
            <a:gd name="adj1" fmla="val 16120"/>
            <a:gd name="adj2" fmla="val 16110"/>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64E5FEA-D22C-47FC-911C-F87087BB499A}">
      <dsp:nvSpPr>
        <dsp:cNvPr id="0" name=""/>
        <dsp:cNvSpPr/>
      </dsp:nvSpPr>
      <dsp:spPr>
        <a:xfrm>
          <a:off x="585772" y="1416324"/>
          <a:ext cx="870841" cy="76334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t" anchorCtr="0">
          <a:noAutofit/>
        </a:bodyPr>
        <a:lstStyle/>
        <a:p>
          <a:pPr marL="0" lvl="0" indent="0" algn="l" defTabSz="311150">
            <a:lnSpc>
              <a:spcPct val="90000"/>
            </a:lnSpc>
            <a:spcBef>
              <a:spcPct val="0"/>
            </a:spcBef>
            <a:spcAft>
              <a:spcPct val="35000"/>
            </a:spcAft>
            <a:buNone/>
          </a:pPr>
          <a:r>
            <a:rPr lang="es-CO" sz="700" b="1" kern="1200"/>
            <a:t>fecha de suscripción del contrato : </a:t>
          </a:r>
          <a:r>
            <a:rPr lang="es-CO" sz="700" kern="1200"/>
            <a:t>29 de junio de 2022 contrato por 10 meses al 30 de abril de 2023</a:t>
          </a:r>
        </a:p>
      </dsp:txBody>
      <dsp:txXfrm>
        <a:off x="585772" y="1416324"/>
        <a:ext cx="870841" cy="763343"/>
      </dsp:txXfrm>
    </dsp:sp>
    <dsp:sp modelId="{7FD0EF0C-81B8-4153-A584-8BAEB0BCA31F}">
      <dsp:nvSpPr>
        <dsp:cNvPr id="0" name=""/>
        <dsp:cNvSpPr/>
      </dsp:nvSpPr>
      <dsp:spPr>
        <a:xfrm>
          <a:off x="1292304" y="1057103"/>
          <a:ext cx="164309" cy="164309"/>
        </a:xfrm>
        <a:prstGeom prst="triangle">
          <a:avLst>
            <a:gd name="adj" fmla="val 100000"/>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35722BC-77EA-47E0-9043-8F63FDB46209}">
      <dsp:nvSpPr>
        <dsp:cNvPr id="0" name=""/>
        <dsp:cNvSpPr/>
      </dsp:nvSpPr>
      <dsp:spPr>
        <a:xfrm rot="5400000">
          <a:off x="1748617" y="864315"/>
          <a:ext cx="579692" cy="964594"/>
        </a:xfrm>
        <a:prstGeom prst="corner">
          <a:avLst>
            <a:gd name="adj1" fmla="val 16120"/>
            <a:gd name="adj2" fmla="val 16110"/>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4F1112A-9A7C-4E4B-B99C-AAE6B0F08F60}">
      <dsp:nvSpPr>
        <dsp:cNvPr id="0" name=""/>
        <dsp:cNvSpPr/>
      </dsp:nvSpPr>
      <dsp:spPr>
        <a:xfrm>
          <a:off x="1651852" y="1152521"/>
          <a:ext cx="870841" cy="76334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t" anchorCtr="0">
          <a:noAutofit/>
        </a:bodyPr>
        <a:lstStyle/>
        <a:p>
          <a:pPr marL="0" lvl="0" indent="0" algn="l" defTabSz="311150">
            <a:lnSpc>
              <a:spcPct val="90000"/>
            </a:lnSpc>
            <a:spcBef>
              <a:spcPct val="0"/>
            </a:spcBef>
            <a:spcAft>
              <a:spcPct val="35000"/>
            </a:spcAft>
            <a:buNone/>
          </a:pPr>
          <a:r>
            <a:rPr lang="es-CO" sz="700" b="1" kern="1200"/>
            <a:t>fecha de aprobación de las garantias de cumplimiento :</a:t>
          </a:r>
          <a:r>
            <a:rPr lang="es-CO" sz="700" kern="1200"/>
            <a:t>1 de julio de 2022 </a:t>
          </a:r>
          <a:r>
            <a:rPr lang="es-CO" sz="700" kern="1200">
              <a:solidFill>
                <a:srgbClr val="FF0000"/>
              </a:solidFill>
            </a:rPr>
            <a:t>UNICAS GARANTÍAS APROBADAS</a:t>
          </a:r>
          <a:endParaRPr lang="es-CO" sz="700" kern="1200"/>
        </a:p>
      </dsp:txBody>
      <dsp:txXfrm>
        <a:off x="1651852" y="1152521"/>
        <a:ext cx="870841" cy="763343"/>
      </dsp:txXfrm>
    </dsp:sp>
    <dsp:sp modelId="{2F232C76-2C40-43F8-B415-36E0C95E2594}">
      <dsp:nvSpPr>
        <dsp:cNvPr id="0" name=""/>
        <dsp:cNvSpPr/>
      </dsp:nvSpPr>
      <dsp:spPr>
        <a:xfrm>
          <a:off x="2358384" y="793301"/>
          <a:ext cx="164309" cy="164309"/>
        </a:xfrm>
        <a:prstGeom prst="triangle">
          <a:avLst>
            <a:gd name="adj" fmla="val 100000"/>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845A3C1-51D9-4EA2-B683-F0AC336DD69D}">
      <dsp:nvSpPr>
        <dsp:cNvPr id="0" name=""/>
        <dsp:cNvSpPr/>
      </dsp:nvSpPr>
      <dsp:spPr>
        <a:xfrm rot="5400000">
          <a:off x="2814697" y="600513"/>
          <a:ext cx="579692" cy="964594"/>
        </a:xfrm>
        <a:prstGeom prst="corner">
          <a:avLst>
            <a:gd name="adj1" fmla="val 16120"/>
            <a:gd name="adj2" fmla="val 16110"/>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0DABEE-B7CE-4B5D-9A0A-1809823AC32F}">
      <dsp:nvSpPr>
        <dsp:cNvPr id="0" name=""/>
        <dsp:cNvSpPr/>
      </dsp:nvSpPr>
      <dsp:spPr>
        <a:xfrm>
          <a:off x="2717932" y="888719"/>
          <a:ext cx="870841" cy="76334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t" anchorCtr="0">
          <a:noAutofit/>
        </a:bodyPr>
        <a:lstStyle/>
        <a:p>
          <a:pPr marL="0" lvl="0" indent="0" algn="l" defTabSz="311150">
            <a:lnSpc>
              <a:spcPct val="90000"/>
            </a:lnSpc>
            <a:spcBef>
              <a:spcPct val="0"/>
            </a:spcBef>
            <a:spcAft>
              <a:spcPct val="35000"/>
            </a:spcAft>
            <a:buNone/>
          </a:pPr>
          <a:r>
            <a:rPr lang="es-CO" sz="700" b="1" kern="1200"/>
            <a:t>fecha del acta de inicio </a:t>
          </a:r>
          <a:r>
            <a:rPr lang="es-CO" sz="700" kern="1200"/>
            <a:t>1 de julio de 2022</a:t>
          </a:r>
        </a:p>
      </dsp:txBody>
      <dsp:txXfrm>
        <a:off x="2717932" y="888719"/>
        <a:ext cx="870841" cy="763343"/>
      </dsp:txXfrm>
    </dsp:sp>
    <dsp:sp modelId="{4234AA82-30B5-469D-ADFF-F0D777B0AD43}">
      <dsp:nvSpPr>
        <dsp:cNvPr id="0" name=""/>
        <dsp:cNvSpPr/>
      </dsp:nvSpPr>
      <dsp:spPr>
        <a:xfrm>
          <a:off x="3424464" y="529498"/>
          <a:ext cx="164309" cy="164309"/>
        </a:xfrm>
        <a:prstGeom prst="triangle">
          <a:avLst>
            <a:gd name="adj" fmla="val 100000"/>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23236E3-C00C-43AB-B4F4-A52581B5E82E}">
      <dsp:nvSpPr>
        <dsp:cNvPr id="0" name=""/>
        <dsp:cNvSpPr/>
      </dsp:nvSpPr>
      <dsp:spPr>
        <a:xfrm rot="5400000">
          <a:off x="3880777" y="336710"/>
          <a:ext cx="579692" cy="964594"/>
        </a:xfrm>
        <a:prstGeom prst="corner">
          <a:avLst>
            <a:gd name="adj1" fmla="val 16120"/>
            <a:gd name="adj2" fmla="val 16110"/>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8F1021E-95E5-46ED-B524-10AC302F217F}">
      <dsp:nvSpPr>
        <dsp:cNvPr id="0" name=""/>
        <dsp:cNvSpPr/>
      </dsp:nvSpPr>
      <dsp:spPr>
        <a:xfrm>
          <a:off x="3784012" y="624916"/>
          <a:ext cx="870841" cy="76334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t" anchorCtr="0">
          <a:noAutofit/>
        </a:bodyPr>
        <a:lstStyle/>
        <a:p>
          <a:pPr marL="0" lvl="0" indent="0" algn="l" defTabSz="311150">
            <a:lnSpc>
              <a:spcPct val="90000"/>
            </a:lnSpc>
            <a:spcBef>
              <a:spcPct val="0"/>
            </a:spcBef>
            <a:spcAft>
              <a:spcPct val="35000"/>
            </a:spcAft>
            <a:buNone/>
          </a:pPr>
          <a:r>
            <a:rPr lang="es-CO" sz="700" b="1" kern="1200"/>
            <a:t>Prórroga 1</a:t>
          </a:r>
          <a:r>
            <a:rPr lang="es-CO" sz="700" kern="1200"/>
            <a:t>: por (2meses) 1 de mayo de 2023 al 30 de junio de 2023 y adición por $516.206.427</a:t>
          </a:r>
        </a:p>
      </dsp:txBody>
      <dsp:txXfrm>
        <a:off x="3784012" y="624916"/>
        <a:ext cx="870841" cy="763343"/>
      </dsp:txXfrm>
    </dsp:sp>
    <dsp:sp modelId="{3ED1FC20-2950-472A-A73C-E9DC8F4D4D5B}">
      <dsp:nvSpPr>
        <dsp:cNvPr id="0" name=""/>
        <dsp:cNvSpPr/>
      </dsp:nvSpPr>
      <dsp:spPr>
        <a:xfrm>
          <a:off x="4490544" y="265696"/>
          <a:ext cx="164309" cy="164309"/>
        </a:xfrm>
        <a:prstGeom prst="triangle">
          <a:avLst>
            <a:gd name="adj" fmla="val 100000"/>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DC1D310-6586-462E-AA3E-0D28414A30F5}">
      <dsp:nvSpPr>
        <dsp:cNvPr id="0" name=""/>
        <dsp:cNvSpPr/>
      </dsp:nvSpPr>
      <dsp:spPr>
        <a:xfrm rot="5400000">
          <a:off x="4946857" y="72908"/>
          <a:ext cx="579692" cy="964594"/>
        </a:xfrm>
        <a:prstGeom prst="corner">
          <a:avLst>
            <a:gd name="adj1" fmla="val 16120"/>
            <a:gd name="adj2" fmla="val 16110"/>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0DE361-8CE3-4556-8691-D76AECD9AF50}">
      <dsp:nvSpPr>
        <dsp:cNvPr id="0" name=""/>
        <dsp:cNvSpPr/>
      </dsp:nvSpPr>
      <dsp:spPr>
        <a:xfrm>
          <a:off x="4850092" y="361114"/>
          <a:ext cx="870841" cy="76334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t" anchorCtr="0">
          <a:noAutofit/>
        </a:bodyPr>
        <a:lstStyle/>
        <a:p>
          <a:pPr marL="0" lvl="0" indent="0" algn="l" defTabSz="311150">
            <a:lnSpc>
              <a:spcPct val="90000"/>
            </a:lnSpc>
            <a:spcBef>
              <a:spcPct val="0"/>
            </a:spcBef>
            <a:spcAft>
              <a:spcPct val="35000"/>
            </a:spcAft>
            <a:buNone/>
          </a:pPr>
          <a:r>
            <a:rPr lang="es-CO" sz="700" b="1" kern="1200"/>
            <a:t>Prórroga 2 </a:t>
          </a:r>
          <a:r>
            <a:rPr lang="es-CO" sz="700" kern="1200"/>
            <a:t>:  por (5 meses) del 1 de julio de 2023 al 30 de noviembre de 2023 y adición por $1.073.531.136</a:t>
          </a:r>
        </a:p>
      </dsp:txBody>
      <dsp:txXfrm>
        <a:off x="4850092" y="361114"/>
        <a:ext cx="870841" cy="763343"/>
      </dsp:txXfrm>
    </dsp:sp>
    <dsp:sp modelId="{47F1F79B-458B-44F6-AEF6-8F504BE9B543}">
      <dsp:nvSpPr>
        <dsp:cNvPr id="0" name=""/>
        <dsp:cNvSpPr/>
      </dsp:nvSpPr>
      <dsp:spPr>
        <a:xfrm>
          <a:off x="5556624" y="1893"/>
          <a:ext cx="164309" cy="164309"/>
        </a:xfrm>
        <a:prstGeom prst="triangle">
          <a:avLst>
            <a:gd name="adj" fmla="val 100000"/>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0A2DC56-6515-4921-AAA0-3B96E32DAB22}">
      <dsp:nvSpPr>
        <dsp:cNvPr id="0" name=""/>
        <dsp:cNvSpPr/>
      </dsp:nvSpPr>
      <dsp:spPr>
        <a:xfrm rot="5400000">
          <a:off x="6012937" y="-190894"/>
          <a:ext cx="579692" cy="964594"/>
        </a:xfrm>
        <a:prstGeom prst="corner">
          <a:avLst>
            <a:gd name="adj1" fmla="val 16120"/>
            <a:gd name="adj2" fmla="val 16110"/>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1B3104D-7DCA-4B78-8230-8D23C2E36546}">
      <dsp:nvSpPr>
        <dsp:cNvPr id="0" name=""/>
        <dsp:cNvSpPr/>
      </dsp:nvSpPr>
      <dsp:spPr>
        <a:xfrm>
          <a:off x="5916172" y="97311"/>
          <a:ext cx="870841" cy="76334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t" anchorCtr="0">
          <a:noAutofit/>
        </a:bodyPr>
        <a:lstStyle/>
        <a:p>
          <a:pPr marL="0" lvl="0" indent="0" algn="l" defTabSz="311150">
            <a:lnSpc>
              <a:spcPct val="90000"/>
            </a:lnSpc>
            <a:spcBef>
              <a:spcPct val="0"/>
            </a:spcBef>
            <a:spcAft>
              <a:spcPct val="35000"/>
            </a:spcAft>
            <a:buNone/>
          </a:pPr>
          <a:r>
            <a:rPr lang="es-CO" sz="700" b="1" kern="1200"/>
            <a:t>Suspención del contrato: </a:t>
          </a:r>
          <a:r>
            <a:rPr lang="es-CO" sz="700" kern="1200"/>
            <a:t>30 de noviembre de 2023  (por disturbios en el Universidad , Orden público) al 6 de diciembre de 2023</a:t>
          </a:r>
        </a:p>
      </dsp:txBody>
      <dsp:txXfrm>
        <a:off x="5916172" y="97311"/>
        <a:ext cx="870841" cy="763343"/>
      </dsp:txXfrm>
    </dsp:sp>
  </dsp:spTree>
</dsp:drawing>
</file>

<file path=word/diagrams/layout1.xml><?xml version="1.0" encoding="utf-8"?>
<dgm:layoutDef xmlns:dgm="http://schemas.openxmlformats.org/drawingml/2006/diagram" xmlns:a="http://schemas.openxmlformats.org/drawingml/2006/main" uniqueId="urn:microsoft.com/office/officeart/2009/3/layout/StepUpProcess">
  <dgm:title val=""/>
  <dgm:desc val=""/>
  <dgm:catLst>
    <dgm:cat type="process" pri="1300"/>
  </dgm:catLst>
  <dgm:sampData>
    <dgm:dataModel>
      <dgm:ptLst>
        <dgm:pt modelId="0" type="doc"/>
        <dgm:pt modelId="10">
          <dgm:prSet phldr="1"/>
        </dgm:pt>
        <dgm:pt modelId="20">
          <dgm:prSet phldr="1"/>
        </dgm:pt>
        <dgm:pt modelId="30">
          <dgm:prSet phldr="1"/>
        </dgm:pt>
      </dgm:ptLst>
      <dgm:cxnLst>
        <dgm:cxn modelId="60" srcId="0" destId="10" srcOrd="0" destOrd="0"/>
        <dgm:cxn modelId="70" srcId="0" destId="20" srcOrd="1" destOrd="0"/>
        <dgm:cxn modelId="80" srcId="0" destId="30" srcOrd="2"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bL"/>
          <dgm:param type="flowDir" val="row"/>
          <dgm:param type="off" val="off"/>
          <dgm:param type="bkpt" val="fixed"/>
          <dgm:param type="bkPtFixedVal" val="1"/>
        </dgm:alg>
      </dgm:if>
      <dgm:else name="Name2">
        <dgm:alg type="snake">
          <dgm:param type="grDir" val="bR"/>
          <dgm:param type="flowDir" val="row"/>
          <dgm:param type="off" val="off"/>
          <dgm:param type="bkpt" val="fixed"/>
          <dgm:param type="bkPtFixedVal" val="1"/>
        </dgm:alg>
      </dgm:else>
    </dgm:choose>
    <dgm:shape xmlns:r="http://schemas.openxmlformats.org/officeDocument/2006/relationships" r:blip="">
      <dgm:adjLst/>
    </dgm:shape>
    <dgm:constrLst>
      <dgm:constr type="alignOff" forName="rootnode" val="1"/>
      <dgm:constr type="primFontSz" for="des" ptType="node" op="equ" val="65"/>
      <dgm:constr type="w" for="ch" forName="composite" refType="w"/>
      <dgm:constr type="h" for="ch" forName="composite" refType="h"/>
      <dgm:constr type="sp" refType="h" refFor="ch" refForName="composite" op="equ" fact="-0.765"/>
      <dgm:constr type="w" for="ch" forName="sibTrans" refType="w" fact="0.103"/>
      <dgm:constr type="h" for="ch" forName="sibTrans" refType="h" fact="0.103"/>
    </dgm:constrLst>
    <dgm:forEach name="nodesForEach" axis="ch" ptType="node">
      <dgm:layoutNode name="composite">
        <dgm:alg type="composite">
          <dgm:param type="ar" val="0.861"/>
        </dgm:alg>
        <dgm:shape xmlns:r="http://schemas.openxmlformats.org/officeDocument/2006/relationships" r:blip="">
          <dgm:adjLst/>
        </dgm:shape>
        <dgm:choose name="Name3">
          <dgm:if name="Name4" func="var" arg="dir" op="equ" val="norm">
            <dgm:constrLst>
              <dgm:constr type="l" for="ch" forName="LShape" refType="w" fact="0"/>
              <dgm:constr type="t" for="ch" forName="LShape" refType="h" fact="0.2347"/>
              <dgm:constr type="w" for="ch" forName="LShape" refType="w" fact="0.998"/>
              <dgm:constr type="h" for="ch" forName="LShape" refType="h" fact="0.5164"/>
              <dgm:constr type="r" for="ch" forName="ParentText" refType="w"/>
              <dgm:constr type="t" for="ch" forName="ParentText" refType="h" fact="0.32"/>
              <dgm:constr type="w" for="ch" forName="ParentText" refType="w" fact="0.901"/>
              <dgm:constr type="h" for="ch" forName="ParentText" refType="h" fact="0.68"/>
              <dgm:constr type="l" for="ch" forName="Triangle" refType="w" fact="0.83"/>
              <dgm:constr type="t" for="ch" forName="Triangle" refType="h" fact="0"/>
              <dgm:constr type="w" for="ch" forName="Triangle" refType="w" fact="0.17"/>
              <dgm:constr type="h" for="ch" forName="Triangle" refType="w" refFor="ch" refForName="Triangle"/>
            </dgm:constrLst>
          </dgm:if>
          <dgm:else name="Name5">
            <dgm:constrLst>
              <dgm:constr type="l" for="ch" forName="LShape" refType="w" fact="0.002"/>
              <dgm:constr type="t" for="ch" forName="LShape" refType="h" fact="0.2347"/>
              <dgm:constr type="w" for="ch" forName="LShape" refType="w"/>
              <dgm:constr type="h" for="ch" forName="LShape" refType="h" fact="0.5164"/>
              <dgm:constr type="l" for="ch" forName="ParentText" refType="w" fact="0"/>
              <dgm:constr type="t" for="ch" forName="ParentText" refType="h" fact="0.32"/>
              <dgm:constr type="w" for="ch" forName="ParentText" refType="w" fact="0.902"/>
              <dgm:constr type="h" for="ch" forName="ParentText" refType="h" fact="0.68"/>
              <dgm:constr type="l" for="ch" forName="Triangle" refType="w" fact="0"/>
              <dgm:constr type="t" for="ch" forName="Triangle" refType="h" fact="0"/>
              <dgm:constr type="w" for="ch" forName="Triangle" refType="w" fact="0.17"/>
              <dgm:constr type="h" for="ch" forName="Triangle" refType="w" refFor="ch" refForName="Triangle"/>
            </dgm:constrLst>
          </dgm:else>
        </dgm:choose>
        <dgm:layoutNode name="LShape" styleLbl="alignNode1">
          <dgm:alg type="sp"/>
          <dgm:choose name="Name6">
            <dgm:if name="Name7" func="var" arg="dir" op="equ" val="norm">
              <dgm:shape xmlns:r="http://schemas.openxmlformats.org/officeDocument/2006/relationships" rot="90" type="corner" r:blip="">
                <dgm:adjLst>
                  <dgm:adj idx="1" val="0.1612"/>
                  <dgm:adj idx="2" val="0.1611"/>
                </dgm:adjLst>
              </dgm:shape>
            </dgm:if>
            <dgm:else name="Name8">
              <dgm:shape xmlns:r="http://schemas.openxmlformats.org/officeDocument/2006/relationships" rot="180" type="corner" r:blip="">
                <dgm:adjLst>
                  <dgm:adj idx="1" val="0.1612"/>
                  <dgm:adj idx="2" val="0.1611"/>
                </dgm:adjLst>
              </dgm:shape>
            </dgm:else>
          </dgm:choose>
          <dgm:presOf/>
        </dgm:layoutNode>
        <dgm:layoutNode name="ParentText" styleLbl="revTx">
          <dgm:varLst>
            <dgm:chMax val="0"/>
            <dgm:chPref val="0"/>
            <dgm:bulletEnabled val="1"/>
          </dgm:varLst>
          <dgm:alg type="tx">
            <dgm:param type="parTxLTRAlign" val="l"/>
            <dgm:param type="txAnchorVert" val="t"/>
          </dgm:alg>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9">
          <dgm:if name="Name10" axis="followSib" ptType="node" func="cnt" op="gte" val="1">
            <dgm:layoutNode name="Triangle" styleLbl="alignNode1">
              <dgm:alg type="sp"/>
              <dgm:choose name="Name11">
                <dgm:if name="Name12" func="var" arg="dir" op="equ" val="norm">
                  <dgm:shape xmlns:r="http://schemas.openxmlformats.org/officeDocument/2006/relationships" type="triangle" r:blip="">
                    <dgm:adjLst>
                      <dgm:adj idx="1" val="1"/>
                    </dgm:adjLst>
                  </dgm:shape>
                </dgm:if>
                <dgm:else name="Name13">
                  <dgm:shape xmlns:r="http://schemas.openxmlformats.org/officeDocument/2006/relationships" rot="90" type="triangle" r:blip="">
                    <dgm:adjLst>
                      <dgm:adj idx="1" val="1"/>
                    </dgm:adjLst>
                  </dgm:shape>
                </dgm:else>
              </dgm:choose>
              <dgm:presOf/>
            </dgm:layoutNode>
          </dgm:if>
          <dgm:else name="Name14"/>
        </dgm:choose>
      </dgm:layoutNode>
      <dgm:forEach name="sibTransForEach" axis="followSib" ptType="sibTrans" cnt="1">
        <dgm:layoutNode name="sibTrans">
          <dgm:alg type="composite">
            <dgm:param type="ar" val="0.861"/>
          </dgm:alg>
          <dgm:constrLst>
            <dgm:constr type="w" for="ch" forName="space" refType="w"/>
            <dgm:constr type="h" for="ch" forName="space" refType="w"/>
          </dgm:constrLst>
          <dgm:layoutNode name="space" styleLbl="alignNode1">
            <dgm:alg type="sp"/>
            <dgm:shape xmlns:r="http://schemas.openxmlformats.org/officeDocument/2006/relationships" r:blip="">
              <dgm:adjLst/>
            </dgm:shape>
            <dgm:presOf/>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1527</Words>
  <Characters>8399</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MARIA RUBIO POLANCO</dc:creator>
  <cp:keywords/>
  <dc:description/>
  <cp:lastModifiedBy>ANGELICA MARIA RUBIO POLANCO</cp:lastModifiedBy>
  <cp:revision>1</cp:revision>
  <dcterms:created xsi:type="dcterms:W3CDTF">2023-12-12T17:01:00Z</dcterms:created>
  <dcterms:modified xsi:type="dcterms:W3CDTF">2023-12-12T18:48:00Z</dcterms:modified>
</cp:coreProperties>
</file>